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FE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autoSpaceDE w:val="0"/>
        <w:autoSpaceDN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kern w:val="44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kern w:val="44"/>
          <w:sz w:val="44"/>
          <w:szCs w:val="44"/>
          <w:bdr w:val="none" w:color="auto" w:sz="0" w:space="0"/>
          <w:shd w:val="clear" w:fill="FFFFFF"/>
        </w:rPr>
        <w:t xml:space="preserve"> 关于征集《全国新工科教育进展报告（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spacing w:val="8"/>
          <w:kern w:val="44"/>
          <w:sz w:val="44"/>
          <w:szCs w:val="44"/>
          <w:bdr w:val="none" w:color="auto" w:sz="0" w:space="0"/>
          <w:shd w:val="clear" w:fill="FFFFFF"/>
        </w:rPr>
        <w:t>2025-2026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kern w:val="44"/>
          <w:sz w:val="44"/>
          <w:szCs w:val="44"/>
          <w:bdr w:val="none" w:color="auto" w:sz="0" w:space="0"/>
          <w:shd w:val="clear" w:fill="FFFFFF"/>
        </w:rPr>
        <w:t>）》院校案例素材的通知</w:t>
      </w:r>
    </w:p>
    <w:p w14:paraId="56D0129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both"/>
        <w:rPr>
          <w:rFonts w:hint="eastAsia" w:ascii="Calibri" w:hAnsi="Calibri" w:eastAsia="宋体" w:cs="Times New Roman"/>
          <w:kern w:val="2"/>
          <w:sz w:val="44"/>
          <w:szCs w:val="44"/>
        </w:rPr>
      </w:pPr>
      <w:r>
        <w:rPr>
          <w:rFonts w:hint="eastAsia" w:ascii="Calibri" w:hAnsi="Calibri" w:eastAsia="宋体" w:cs="Times New Roman"/>
          <w:kern w:val="2"/>
          <w:sz w:val="44"/>
          <w:szCs w:val="44"/>
          <w:lang w:val="en-US" w:eastAsia="zh-CN" w:bidi="ar"/>
        </w:rPr>
        <w:t xml:space="preserve"> </w:t>
      </w:r>
    </w:p>
    <w:p w14:paraId="3B89935E">
      <w:pPr>
        <w:pStyle w:val="3"/>
        <w:keepNext w:val="0"/>
        <w:keepLines w:val="0"/>
        <w:widowControl/>
        <w:suppressLineNumbers w:val="0"/>
        <w:shd w:val="clear" w:fill="FFFFFF"/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2026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年是“十五五”开局之年，也是我国新工科建设从深化走向跃升的关键节点。自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2017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年“复旦共识”“天大行动”“北京指南”三部曲搭建起新工科建设的“四梁八柱”以来，国家统筹、地方推动、高校落实的三级体系渐趋成熟，新工科正从“再深化”走向“再拓展”</w:t>
      </w:r>
      <w:r>
        <w:rPr>
          <w:rFonts w:hint="default" w:ascii="Calibri" w:hAnsi="Calibri" w:eastAsia="宋体" w:cs="Times New Roman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="Calibri" w:hAnsi="Calibri" w:eastAsia="宋体" w:cs="Times New Roman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"http://jjckb.xinhuanet.com/20260303/b22835bb2f9548feb000007198051258/c.html" </w:instrText>
      </w:r>
      <w:r>
        <w:rPr>
          <w:rFonts w:hint="default" w:ascii="Calibri" w:hAnsi="Calibri" w:eastAsia="宋体" w:cs="Times New Roman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8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日，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2026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年全国教育工作会议在北京召开，教育部部署了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2026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年八项重点任务，其中明确提出“适应国家和区域重大战略需求，持续优化高等教育结构布局，分类推进高校改革，启动国家交叉学科中心建设，完善高校科技成果转化网络体系，探索关键领域拔尖人才培养新模式”</w:t>
      </w:r>
      <w:r>
        <w:rPr>
          <w:rFonts w:hint="default" w:ascii="Calibri" w:hAnsi="Calibri" w:eastAsia="宋体" w:cs="Times New Roman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default" w:ascii="Calibri" w:hAnsi="Calibri" w:eastAsia="宋体" w:cs="Times New Roman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"https://info.swust.edu.cn/2026/0115/c12444a231302/page.htm" </w:instrText>
      </w:r>
      <w:r>
        <w:rPr>
          <w:rFonts w:hint="default" w:ascii="Calibri" w:hAnsi="Calibri" w:eastAsia="宋体" w:cs="Times New Roman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。作为培育新质生产力、支撑高水平科技自立自强的关键抓手，我国新工科教育逐步构建起面向国家战略需求和新兴产业的新生态，一场面向未来的工程教育变革正加速推进。</w:t>
      </w:r>
    </w:p>
    <w:p w14:paraId="45B91E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为促进工科高校经验交流与资源共享，在教育部高等教育司的指导下，全国新工科教育创新中心启动</w:t>
      </w:r>
      <w:r>
        <w:rPr>
          <w:rFonts w:hint="eastAsia" w:ascii="仿宋_GB2312" w:hAnsi="Calibri" w:eastAsia="仿宋_GB2312" w:cs="仿宋_GB2312"/>
          <w:b/>
          <w:bCs/>
          <w:kern w:val="0"/>
          <w:sz w:val="32"/>
          <w:szCs w:val="32"/>
          <w:bdr w:val="none" w:color="auto" w:sz="0" w:space="0"/>
          <w:lang w:val="en-US" w:eastAsia="zh-CN" w:bidi="ar"/>
        </w:rPr>
        <w:t>《全国新工科教育进展报告（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  <w:bdr w:val="none" w:color="auto" w:sz="0" w:space="0"/>
          <w:lang w:val="en-US" w:eastAsia="zh-CN" w:bidi="ar"/>
        </w:rPr>
        <w:t>2025-2026</w:t>
      </w:r>
      <w:r>
        <w:rPr>
          <w:rFonts w:hint="eastAsia" w:ascii="仿宋_GB2312" w:hAnsi="Calibri" w:eastAsia="仿宋_GB2312" w:cs="仿宋_GB2312"/>
          <w:b/>
          <w:bCs/>
          <w:kern w:val="0"/>
          <w:sz w:val="32"/>
          <w:szCs w:val="32"/>
          <w:bdr w:val="none" w:color="auto" w:sz="0" w:space="0"/>
          <w:lang w:val="en-US" w:eastAsia="zh-CN" w:bidi="ar"/>
        </w:rPr>
        <w:t>）》</w:t>
      </w: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编写工作。现</w:t>
      </w:r>
      <w:r>
        <w:rPr>
          <w:rFonts w:hint="eastAsia" w:ascii="仿宋_GB2312" w:hAnsi="Calibri" w:eastAsia="仿宋_GB2312" w:cs="仿宋_GB2312"/>
          <w:b/>
          <w:bCs/>
          <w:kern w:val="0"/>
          <w:sz w:val="32"/>
          <w:szCs w:val="32"/>
          <w:bdr w:val="none" w:color="auto" w:sz="0" w:space="0"/>
          <w:lang w:val="en-US" w:eastAsia="zh-CN" w:bidi="ar"/>
        </w:rPr>
        <w:t>面向全国工科高校广泛征集院校案例素材</w:t>
      </w: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，具体事宜通知如下：</w:t>
      </w:r>
    </w:p>
    <w:p w14:paraId="4E17FE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黑体" w:hAnsi="宋体" w:eastAsia="黑体" w:cs="黑体"/>
          <w:kern w:val="0"/>
          <w:sz w:val="32"/>
          <w:szCs w:val="32"/>
          <w:bdr w:val="none" w:color="auto" w:sz="0" w:space="0"/>
        </w:rPr>
      </w:pPr>
      <w:r>
        <w:rPr>
          <w:rStyle w:val="7"/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  <w:lang w:val="en-US" w:eastAsia="zh-CN" w:bidi="ar"/>
        </w:rPr>
        <w:t>一、征集对象</w:t>
      </w:r>
    </w:p>
    <w:p w14:paraId="293AB1B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全国工科高校。</w:t>
      </w:r>
    </w:p>
    <w:p w14:paraId="75EC083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</w:rPr>
      </w:pPr>
      <w:r>
        <w:rPr>
          <w:rStyle w:val="7"/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  <w:lang w:val="en-US" w:eastAsia="zh-CN" w:bidi="ar"/>
        </w:rPr>
        <w:t>二、征集内容</w:t>
      </w:r>
    </w:p>
    <w:p w14:paraId="18EB04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highlight w:val="yellow"/>
          <w:bdr w:val="none" w:color="auto" w:sz="0" w:space="0"/>
        </w:rPr>
      </w:pP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新工科领域前沿技术、交叉学科动态、未来产业趋势；新工科相关各大政策、方案等动态；展现学生视角的学习体验、创新项目、竞赛心得、实习感悟、职业思考；新工科教育相关的学者观点；全国新工科相关各大会议的新闻；全国新工科教育改革优秀案例、课程设计、项目式学习成果、校企合作模式等。</w:t>
      </w:r>
    </w:p>
    <w:p w14:paraId="60FBCA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</w:rPr>
      </w:pPr>
      <w:r>
        <w:rPr>
          <w:rStyle w:val="7"/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  <w:lang w:val="en-US" w:eastAsia="zh-CN" w:bidi="ar"/>
        </w:rPr>
        <w:t>三、发布渠道</w:t>
      </w:r>
    </w:p>
    <w:p w14:paraId="4782E6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优秀案例素材将收录在《全国新工科教育进展报告（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bdr w:val="none" w:color="auto" w:sz="0" w:space="0"/>
          <w:lang w:val="en-US" w:eastAsia="zh-CN" w:bidi="ar"/>
        </w:rPr>
        <w:t>2025-2026</w:t>
      </w: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）》中公开出版，并在新工科公众号上持续推送。</w:t>
      </w:r>
    </w:p>
    <w:p w14:paraId="6D7040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</w:rPr>
      </w:pPr>
      <w:r>
        <w:rPr>
          <w:rStyle w:val="7"/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  <w:lang w:val="en-US" w:eastAsia="zh-CN" w:bidi="ar"/>
        </w:rPr>
        <w:t>四、征集时间</w:t>
      </w:r>
    </w:p>
    <w:p w14:paraId="756BE5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素材征集持续进行中，本轮素材报送不晚于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bdr w:val="none" w:color="auto" w:sz="0" w:space="0"/>
          <w:lang w:val="en-US" w:eastAsia="zh-CN" w:bidi="ar"/>
        </w:rPr>
        <w:t>2026</w:t>
      </w:r>
      <w:r>
        <w:rPr>
          <w:rFonts w:hint="eastAsia" w:ascii="仿宋_GB2312" w:hAnsi="Times New Roman" w:eastAsia="仿宋_GB2312" w:cs="仿宋_GB2312"/>
          <w:b w:val="0"/>
          <w:bCs w:val="0"/>
          <w:kern w:val="0"/>
          <w:sz w:val="32"/>
          <w:szCs w:val="32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bdr w:val="none" w:color="auto" w:sz="0" w:space="0"/>
          <w:lang w:val="en-US" w:eastAsia="zh-CN" w:bidi="ar"/>
        </w:rPr>
        <w:t>10</w:t>
      </w:r>
      <w:r>
        <w:rPr>
          <w:rFonts w:hint="eastAsia" w:ascii="仿宋_GB2312" w:hAnsi="Times New Roman" w:eastAsia="仿宋_GB2312" w:cs="仿宋_GB2312"/>
          <w:b w:val="0"/>
          <w:bCs w:val="0"/>
          <w:kern w:val="0"/>
          <w:sz w:val="32"/>
          <w:szCs w:val="32"/>
          <w:bdr w:val="none" w:color="auto" w:sz="0" w:space="0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bdr w:val="none" w:color="auto" w:sz="0" w:space="0"/>
          <w:lang w:val="en-US" w:eastAsia="zh-CN" w:bidi="ar"/>
        </w:rPr>
        <w:t>30</w:t>
      </w:r>
      <w:r>
        <w:rPr>
          <w:rFonts w:hint="eastAsia" w:ascii="仿宋_GB2312" w:hAnsi="Times New Roman" w:eastAsia="仿宋_GB2312" w:cs="仿宋_GB2312"/>
          <w:b w:val="0"/>
          <w:bCs w:val="0"/>
          <w:kern w:val="0"/>
          <w:sz w:val="32"/>
          <w:szCs w:val="32"/>
          <w:bdr w:val="none" w:color="auto" w:sz="0" w:space="0"/>
          <w:lang w:val="en-US" w:eastAsia="zh-CN" w:bidi="ar"/>
        </w:rPr>
        <w:t>日</w:t>
      </w: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。</w:t>
      </w:r>
    </w:p>
    <w:p w14:paraId="4B31E0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</w:rPr>
      </w:pPr>
      <w:r>
        <w:rPr>
          <w:rStyle w:val="7"/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  <w:lang w:val="en-US" w:eastAsia="zh-CN" w:bidi="ar"/>
        </w:rPr>
        <w:t>五、报送方式</w:t>
      </w:r>
    </w:p>
    <w:p w14:paraId="02FD69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请将电子版材料报送至全国新工科教育创新中心。</w:t>
      </w:r>
    </w:p>
    <w:p w14:paraId="3CE8B506">
      <w:pPr>
        <w:pStyle w:val="3"/>
        <w:keepNext w:val="0"/>
        <w:keepLines w:val="0"/>
        <w:widowControl/>
        <w:suppressLineNumbers w:val="0"/>
        <w:autoSpaceDE w:val="0"/>
        <w:autoSpaceDN/>
        <w:spacing w:before="0" w:beforeAutospacing="1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Calibri" w:eastAsia="仿宋_GB2312" w:cs="仿宋_GB2312"/>
          <w:kern w:val="0"/>
          <w:sz w:val="32"/>
          <w:szCs w:val="32"/>
          <w:lang w:val="en-US" w:eastAsia="zh-CN" w:bidi="ar"/>
        </w:rPr>
        <w:t>电子邮箱：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iaeee@tju.edu.cn</w:t>
      </w:r>
    </w:p>
    <w:p w14:paraId="058096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highlight w:val="yellow"/>
          <w:bdr w:val="none" w:color="auto" w:sz="0" w:space="0"/>
        </w:rPr>
      </w:pP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联系人：张心悦 赵楠</w:t>
      </w:r>
    </w:p>
    <w:p w14:paraId="0A7BD8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hAnsi="Calibri" w:eastAsia="仿宋_GB2312" w:cs="仿宋_GB2312"/>
          <w:kern w:val="0"/>
          <w:sz w:val="32"/>
          <w:szCs w:val="32"/>
          <w:bdr w:val="none" w:color="auto" w:sz="0" w:space="0"/>
          <w:lang w:val="en-US" w:eastAsia="zh-CN" w:bidi="ar"/>
        </w:rPr>
        <w:t>联系电话：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bdr w:val="none" w:color="auto" w:sz="0" w:space="0"/>
          <w:lang w:val="en-US" w:eastAsia="zh-CN" w:bidi="ar"/>
        </w:rPr>
        <w:t>022-85356761</w:t>
      </w:r>
    </w:p>
    <w:p w14:paraId="1A1FE2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</w:rPr>
      </w:pPr>
      <w:r>
        <w:rPr>
          <w:rStyle w:val="7"/>
          <w:rFonts w:hint="eastAsia" w:ascii="黑体" w:hAnsi="宋体" w:eastAsia="黑体" w:cs="黑体"/>
          <w:b/>
          <w:bCs w:val="0"/>
          <w:sz w:val="32"/>
          <w:szCs w:val="32"/>
          <w:bdr w:val="none" w:color="auto" w:sz="0" w:space="0"/>
          <w:lang w:val="en-US" w:eastAsia="zh-CN" w:bidi="ar"/>
        </w:rPr>
        <w:t>六、投稿要求</w:t>
      </w:r>
    </w:p>
    <w:p w14:paraId="2728BF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1.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字数要求：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1000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字以内。</w:t>
      </w:r>
    </w:p>
    <w:p w14:paraId="69385F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2.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格式要求：一级标题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16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磅黑体，首行缩进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字符；二级标题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16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磅仿宋加粗，首行缩进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字符；正文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16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磅仿宋，行距固定值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28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磅，两端对齐，段前、段后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0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行。</w:t>
      </w:r>
    </w:p>
    <w:p w14:paraId="121689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3.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内容要求：真实客观、结构合理、条理清晰、简洁流畅。文中涉及的数字、姓名、职务等经核实准确无误。图表</w:t>
      </w:r>
      <w:r>
        <w:rPr>
          <w:rFonts w:hint="eastAsia" w:ascii="仿宋_GB2312" w:hAnsi="Times New Roman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紧扣主题，清晰简洁，大小适中。</w:t>
      </w:r>
    </w:p>
    <w:p w14:paraId="70D996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4.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单位名称：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16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磅仿宋右对齐</w:t>
      </w:r>
    </w:p>
    <w:p w14:paraId="037E53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0"/>
          <w:sz w:val="32"/>
          <w:szCs w:val="32"/>
          <w:bdr w:val="none" w:color="auto" w:sz="0" w:space="0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5.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撰稿人：</w:t>
      </w: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16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磅仿宋右对齐</w:t>
      </w:r>
    </w:p>
    <w:p w14:paraId="2FE0D9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spacing w:val="0"/>
          <w:kern w:val="0"/>
          <w:sz w:val="32"/>
          <w:szCs w:val="32"/>
          <w:bdr w:val="none" w:color="auto" w:sz="0" w:space="0"/>
        </w:rPr>
      </w:pPr>
      <w:r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6.</w:t>
      </w: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个人信息：请注明联系人、所在部门、联系电话。</w:t>
      </w:r>
    </w:p>
    <w:p w14:paraId="6E61E0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spacing w:val="0"/>
          <w:kern w:val="0"/>
          <w:sz w:val="32"/>
          <w:szCs w:val="32"/>
          <w:bdr w:val="none" w:color="auto" w:sz="0" w:space="0"/>
        </w:rPr>
      </w:pPr>
      <w:bookmarkStart w:id="0" w:name="_GoBack"/>
      <w:bookmarkEnd w:id="0"/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 xml:space="preserve"> </w:t>
      </w:r>
    </w:p>
    <w:p w14:paraId="784BC6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eastAsia" w:ascii="仿宋_GB2312" w:eastAsia="仿宋_GB2312" w:cs="仿宋_GB2312"/>
          <w:spacing w:val="0"/>
          <w:kern w:val="0"/>
          <w:sz w:val="32"/>
          <w:szCs w:val="32"/>
          <w:bdr w:val="none" w:color="auto" w:sz="0" w:space="0"/>
        </w:rPr>
      </w:pPr>
      <w:r>
        <w:rPr>
          <w:rFonts w:hint="eastAsia" w:ascii="仿宋_GB2312" w:hAnsi="Calibri" w:eastAsia="仿宋_GB2312" w:cs="仿宋_GB2312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全国新工科教育创新中心</w:t>
      </w:r>
    </w:p>
    <w:p w14:paraId="7BA35B51">
      <w:pPr>
        <w:keepNext w:val="0"/>
        <w:keepLines w:val="0"/>
        <w:widowControl/>
        <w:suppressLineNumbers w:val="0"/>
        <w:jc w:val="right"/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仿宋_GB2312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"/>
        </w:rPr>
        <w:t>9</w:t>
      </w:r>
      <w:r>
        <w:rPr>
          <w:rFonts w:hint="eastAsia" w:ascii="仿宋_GB2312" w:hAnsi="宋体" w:eastAsia="仿宋_GB2312" w:cs="仿宋_GB2312"/>
          <w:spacing w:val="0"/>
          <w:kern w:val="2"/>
          <w:sz w:val="32"/>
          <w:szCs w:val="32"/>
          <w:lang w:val="en-US" w:eastAsia="zh-CN" w:bidi="ar"/>
        </w:rPr>
        <w:t xml:space="preserve">日   </w:t>
      </w:r>
    </w:p>
    <w:p w14:paraId="177288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3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6">
    <w:name w:val="10"/>
    <w:basedOn w:val="5"/>
    <w:uiPriority w:val="0"/>
    <w:rPr>
      <w:rFonts w:hint="default" w:ascii="Times New Roman" w:hAnsi="Times New Roman" w:cs="Times New Roman"/>
    </w:rPr>
  </w:style>
  <w:style w:type="character" w:customStyle="1" w:styleId="7">
    <w:name w:val="15"/>
    <w:basedOn w:val="5"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2026-09-07T07:27:38Z</dcterms:created>
  <dc:creator>Administrator</dc:creator>
  <cp:lastModifiedBy>风之刃</cp:lastModifiedBy>
  <dcterms:modified xsi:type="dcterms:W3CDTF">2026-09-07T07:28:07Z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eyJoZGlkIjoiNGU5NjA5YWI2MzcwZGVmMTJmMzliZWEyNjllOTFhOGQiLCJ1c2VySWQiOiIzNjEwNjY0MTUifQ==</vt:lpwstr>
  </property>
  <property fmtid="{D5CDD505-2E9C-101B-9397-08002B2CF9AE}" pid="4" name="ICV">
    <vt:lpwstr>6C361AD0B4B245C18B54EB805DE2BA90_12</vt:lpwstr>
  </property>
</Properties>
</file>