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342AB">
      <w:pPr>
        <w:spacing w:line="360" w:lineRule="auto"/>
        <w:jc w:val="center"/>
        <w:rPr>
          <w:b/>
          <w:bCs/>
          <w:sz w:val="28"/>
          <w:szCs w:val="28"/>
        </w:rPr>
      </w:pPr>
      <w:r>
        <w:rPr>
          <w:rFonts w:hint="eastAsia"/>
          <w:b/>
          <w:bCs/>
          <w:sz w:val="28"/>
          <w:szCs w:val="28"/>
        </w:rPr>
        <w:t>关于举办“盛华翔伦杯”</w:t>
      </w:r>
    </w:p>
    <w:p w14:paraId="336E448A">
      <w:pPr>
        <w:spacing w:line="360" w:lineRule="auto"/>
        <w:jc w:val="center"/>
        <w:rPr>
          <w:b/>
          <w:bCs/>
          <w:sz w:val="28"/>
          <w:szCs w:val="28"/>
        </w:rPr>
      </w:pPr>
      <w:bookmarkStart w:id="0" w:name="_Hlk151457924"/>
      <w:r>
        <w:rPr>
          <w:rFonts w:hint="eastAsia"/>
          <w:b/>
          <w:bCs/>
          <w:sz w:val="28"/>
          <w:szCs w:val="28"/>
        </w:rPr>
        <w:t>中国地质大学（北京）第三届大学生不动产估价技能大赛</w:t>
      </w:r>
      <w:bookmarkEnd w:id="0"/>
      <w:r>
        <w:rPr>
          <w:rFonts w:hint="eastAsia"/>
          <w:b/>
          <w:bCs/>
          <w:sz w:val="28"/>
          <w:szCs w:val="28"/>
        </w:rPr>
        <w:t>的通知</w:t>
      </w:r>
    </w:p>
    <w:p w14:paraId="4C6E931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（第1号）</w:t>
      </w:r>
    </w:p>
    <w:p w14:paraId="7CE7E367">
      <w:pPr>
        <w:numPr>
          <w:ilvl w:val="0"/>
          <w:numId w:val="1"/>
        </w:numPr>
        <w:spacing w:line="348" w:lineRule="auto"/>
        <w:rPr>
          <w:b/>
          <w:bCs/>
          <w:sz w:val="24"/>
        </w:rPr>
      </w:pPr>
      <w:r>
        <w:rPr>
          <w:rFonts w:hint="eastAsia"/>
          <w:b/>
          <w:bCs/>
          <w:sz w:val="24"/>
        </w:rPr>
        <w:t>大赛背景</w:t>
      </w:r>
    </w:p>
    <w:p w14:paraId="340C402C">
      <w:pPr>
        <w:spacing w:line="348" w:lineRule="auto"/>
        <w:ind w:firstLine="480" w:firstLineChars="200"/>
        <w:rPr>
          <w:sz w:val="24"/>
        </w:rPr>
      </w:pPr>
      <w:r>
        <w:rPr>
          <w:rFonts w:hint="eastAsia"/>
          <w:sz w:val="24"/>
        </w:rPr>
        <w:t>中国式现代化秉承可持续发展理念，致力于构建人与自然和谐共生的新型发展范式，这一战略导向对不动产估价学科的理论体系与执业标准提出了全新要求。为深入贯彻落实立德树人根本任务，创新人才培养机制，中国地质大学（北京）土地科学技术学院特举办第三届大学生不动产估价技能大赛。本届赛事以“强化实践导向、培育创新动能”为宗旨，聚焦行业前沿与学科交叉，通过以赛促学、以赛促教的模式，着力破解理论教学与实践应用的衔接难题。该项竞赛将重点考察学生在价值评估、风险分析、可持续性评价等领域的专业素养，激发学生钻研精神与创新意识，培养既掌握扎实理论基础又具备突出实践能力的复合型人才，为推进不动产估价领域高质量发展提供人才支撑。</w:t>
      </w:r>
    </w:p>
    <w:p w14:paraId="2A8EB92A">
      <w:pPr>
        <w:numPr>
          <w:ilvl w:val="0"/>
          <w:numId w:val="1"/>
        </w:numPr>
        <w:spacing w:line="348" w:lineRule="auto"/>
        <w:rPr>
          <w:b/>
          <w:bCs/>
          <w:sz w:val="24"/>
        </w:rPr>
      </w:pPr>
      <w:r>
        <w:rPr>
          <w:rFonts w:hint="eastAsia"/>
          <w:b/>
          <w:bCs/>
          <w:sz w:val="24"/>
        </w:rPr>
        <w:t>大赛主题</w:t>
      </w:r>
    </w:p>
    <w:p w14:paraId="674A7C74">
      <w:pPr>
        <w:spacing w:line="348" w:lineRule="auto"/>
        <w:ind w:firstLine="480" w:firstLineChars="200"/>
        <w:rPr>
          <w:sz w:val="24"/>
        </w:rPr>
      </w:pPr>
      <w:r>
        <w:rPr>
          <w:rFonts w:hint="eastAsia"/>
          <w:sz w:val="24"/>
        </w:rPr>
        <w:t>在推进中国式现代化的新征程中，创新不动产估价理论方法体系，促进自然资源管理与不动产估价的深度融合，已成为推动行业高质量发展的关键课题。为引导青年学子积极投身这一前沿探索，本届大学生不动产估价技能大赛以“城乡要素双向流动与不动产价值提升”为主题，聚焦共同富裕、人与自然和谐共生、乡村振兴、城乡融合、区域协调发展等国家战略方向设置竞赛选题，鼓励各参赛团队立足专业特色，开展具有前瞻视野与创新价值的实践探索，为构建新时代不动产估价体系贡献青春智慧。</w:t>
      </w:r>
    </w:p>
    <w:p w14:paraId="2855037E">
      <w:pPr>
        <w:spacing w:line="348" w:lineRule="auto"/>
        <w:ind w:firstLine="480" w:firstLineChars="200"/>
        <w:rPr>
          <w:sz w:val="24"/>
        </w:rPr>
      </w:pPr>
      <w:r>
        <w:rPr>
          <w:rFonts w:hint="eastAsia"/>
          <w:sz w:val="24"/>
        </w:rPr>
        <w:t>比赛推荐选题方向（但不限于）：</w:t>
      </w:r>
    </w:p>
    <w:p w14:paraId="13E6A811">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城市房地产价值评估</w:t>
      </w:r>
    </w:p>
    <w:p w14:paraId="49C070AF">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国有土地使用权作价出资（入股）价格评估</w:t>
      </w:r>
    </w:p>
    <w:p w14:paraId="54A5E384">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基础设施及公共设施价值评估</w:t>
      </w:r>
    </w:p>
    <w:p w14:paraId="229094D0">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城市更新中的不动产价值评估</w:t>
      </w:r>
    </w:p>
    <w:p w14:paraId="0B4EDF74">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城市绿地价值评估</w:t>
      </w:r>
    </w:p>
    <w:p w14:paraId="776ED807">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农村土地经营权流转价格评估</w:t>
      </w:r>
    </w:p>
    <w:p w14:paraId="6CFE2155">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农村宅基地权益价值评估</w:t>
      </w:r>
    </w:p>
    <w:p w14:paraId="1013B2F9">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农村经营性建设用地价格评估</w:t>
      </w:r>
    </w:p>
    <w:p w14:paraId="007FCD68">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自然资源价值评估</w:t>
      </w:r>
    </w:p>
    <w:p w14:paraId="57D09D09">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自然资源资产价格整体评估</w:t>
      </w:r>
    </w:p>
    <w:p w14:paraId="10AF6FB4">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自然资源生态保护补偿评估</w:t>
      </w:r>
    </w:p>
    <w:p w14:paraId="55CACFB0">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生态环境损害赔偿评估</w:t>
      </w:r>
    </w:p>
    <w:p w14:paraId="65E77E7E">
      <w:pPr>
        <w:pStyle w:val="13"/>
        <w:numPr>
          <w:ilvl w:val="0"/>
          <w:numId w:val="2"/>
        </w:numPr>
        <w:spacing w:line="348" w:lineRule="auto"/>
        <w:ind w:firstLineChars="0"/>
        <w:rPr>
          <w:rFonts w:ascii="Times New Roman" w:hAnsi="Times New Roman" w:cs="Times New Roman"/>
          <w:sz w:val="24"/>
        </w:rPr>
      </w:pPr>
      <w:r>
        <w:rPr>
          <w:rFonts w:hint="eastAsia" w:ascii="Times New Roman" w:hAnsi="Times New Roman" w:cs="Times New Roman"/>
          <w:sz w:val="24"/>
        </w:rPr>
        <w:t>矿业权评估</w:t>
      </w:r>
    </w:p>
    <w:p w14:paraId="0B2B1E5A">
      <w:pPr>
        <w:numPr>
          <w:ilvl w:val="0"/>
          <w:numId w:val="1"/>
        </w:numPr>
        <w:spacing w:line="348" w:lineRule="auto"/>
        <w:rPr>
          <w:b/>
          <w:bCs/>
          <w:sz w:val="24"/>
        </w:rPr>
      </w:pPr>
      <w:r>
        <w:rPr>
          <w:rFonts w:hint="eastAsia"/>
          <w:b/>
          <w:bCs/>
          <w:sz w:val="24"/>
        </w:rPr>
        <w:t>组织单位</w:t>
      </w:r>
    </w:p>
    <w:p w14:paraId="38CBA4A8">
      <w:pPr>
        <w:spacing w:line="348" w:lineRule="auto"/>
        <w:ind w:firstLine="480" w:firstLineChars="200"/>
        <w:rPr>
          <w:sz w:val="24"/>
        </w:rPr>
      </w:pPr>
      <w:r>
        <w:rPr>
          <w:rFonts w:hint="eastAsia"/>
          <w:sz w:val="24"/>
        </w:rPr>
        <w:t>主办单位：中国地质大学（北京）教务处</w:t>
      </w:r>
    </w:p>
    <w:p w14:paraId="2BAF5F22">
      <w:pPr>
        <w:spacing w:line="348" w:lineRule="auto"/>
        <w:ind w:firstLine="480" w:firstLineChars="200"/>
        <w:rPr>
          <w:sz w:val="24"/>
        </w:rPr>
      </w:pPr>
      <w:r>
        <w:rPr>
          <w:rFonts w:hint="eastAsia"/>
          <w:sz w:val="24"/>
        </w:rPr>
        <w:t>承办单位：中国地质大学（北京）土地科学技术学院</w:t>
      </w:r>
    </w:p>
    <w:p w14:paraId="6A8E530A">
      <w:pPr>
        <w:spacing w:line="348" w:lineRule="auto"/>
        <w:ind w:firstLine="480" w:firstLineChars="200"/>
        <w:rPr>
          <w:sz w:val="24"/>
        </w:rPr>
      </w:pPr>
      <w:r>
        <w:rPr>
          <w:rFonts w:hint="eastAsia"/>
          <w:sz w:val="24"/>
        </w:rPr>
        <w:t>协办单位：北京盛华翔伦房地产土地资产评估有限公司</w:t>
      </w:r>
    </w:p>
    <w:p w14:paraId="24812025">
      <w:pPr>
        <w:spacing w:line="348" w:lineRule="auto"/>
        <w:rPr>
          <w:b/>
          <w:bCs/>
          <w:sz w:val="24"/>
        </w:rPr>
      </w:pPr>
      <w:r>
        <w:rPr>
          <w:rFonts w:hint="eastAsia"/>
          <w:b/>
          <w:bCs/>
          <w:sz w:val="24"/>
        </w:rPr>
        <w:t>四、参赛对象</w:t>
      </w:r>
    </w:p>
    <w:p w14:paraId="3FA55BDB">
      <w:pPr>
        <w:spacing w:line="348" w:lineRule="auto"/>
        <w:ind w:firstLine="480" w:firstLineChars="200"/>
        <w:rPr>
          <w:rFonts w:ascii="Times New Roman" w:hAnsi="Times New Roman" w:cs="Times New Roman"/>
          <w:sz w:val="24"/>
        </w:rPr>
      </w:pPr>
      <w:r>
        <w:rPr>
          <w:rFonts w:ascii="Times New Roman" w:hAnsi="Times New Roman" w:cs="Times New Roman"/>
          <w:sz w:val="24"/>
        </w:rPr>
        <w:t>面向我校的公共管理类、经济管理类、矿产资源经济类等相关专业的在校本科生。以团队为单位参赛，每个参赛团队不超过4人。参赛成员不可重复组队。每个参赛队伍原则上可聘请1位所在</w:t>
      </w:r>
      <w:r>
        <w:rPr>
          <w:rFonts w:hint="eastAsia" w:ascii="Times New Roman" w:hAnsi="Times New Roman" w:cs="Times New Roman"/>
          <w:sz w:val="24"/>
        </w:rPr>
        <w:t>学院老师</w:t>
      </w:r>
      <w:r>
        <w:rPr>
          <w:rFonts w:ascii="Times New Roman" w:hAnsi="Times New Roman" w:cs="Times New Roman"/>
          <w:sz w:val="24"/>
        </w:rPr>
        <w:t>作为指导</w:t>
      </w:r>
      <w:r>
        <w:rPr>
          <w:rFonts w:hint="eastAsia" w:ascii="Times New Roman" w:hAnsi="Times New Roman" w:cs="Times New Roman"/>
          <w:sz w:val="24"/>
        </w:rPr>
        <w:t>教师</w:t>
      </w:r>
      <w:r>
        <w:rPr>
          <w:rFonts w:ascii="Times New Roman" w:hAnsi="Times New Roman" w:cs="Times New Roman"/>
          <w:sz w:val="24"/>
        </w:rPr>
        <w:t>，</w:t>
      </w:r>
      <w:r>
        <w:rPr>
          <w:rFonts w:hint="eastAsia" w:ascii="Times New Roman" w:hAnsi="Times New Roman" w:cs="Times New Roman"/>
          <w:sz w:val="24"/>
        </w:rPr>
        <w:t>且</w:t>
      </w:r>
      <w:r>
        <w:rPr>
          <w:rFonts w:ascii="Times New Roman" w:hAnsi="Times New Roman" w:cs="Times New Roman"/>
          <w:sz w:val="24"/>
        </w:rPr>
        <w:t>指导</w:t>
      </w:r>
      <w:r>
        <w:rPr>
          <w:rFonts w:hint="eastAsia" w:ascii="Times New Roman" w:hAnsi="Times New Roman" w:cs="Times New Roman"/>
          <w:sz w:val="24"/>
        </w:rPr>
        <w:t>教师</w:t>
      </w:r>
      <w:r>
        <w:rPr>
          <w:rFonts w:ascii="Times New Roman" w:hAnsi="Times New Roman" w:cs="Times New Roman"/>
          <w:sz w:val="24"/>
        </w:rPr>
        <w:t>原则上指导参赛队伍不超过2队。</w:t>
      </w:r>
    </w:p>
    <w:p w14:paraId="71F10FAF">
      <w:pPr>
        <w:spacing w:line="348" w:lineRule="auto"/>
        <w:rPr>
          <w:b/>
          <w:bCs/>
          <w:sz w:val="24"/>
        </w:rPr>
      </w:pPr>
      <w:r>
        <w:rPr>
          <w:rFonts w:hint="eastAsia"/>
          <w:b/>
          <w:bCs/>
          <w:sz w:val="24"/>
        </w:rPr>
        <w:t>五、作品要求</w:t>
      </w:r>
    </w:p>
    <w:p w14:paraId="59CFA799">
      <w:pPr>
        <w:spacing w:line="348" w:lineRule="auto"/>
        <w:ind w:firstLine="480" w:firstLineChars="2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 xml:space="preserve"> </w:t>
      </w:r>
      <w:r>
        <w:rPr>
          <w:rFonts w:hint="eastAsia" w:ascii="Times New Roman" w:hAnsi="Times New Roman" w:cs="Times New Roman"/>
          <w:sz w:val="24"/>
        </w:rPr>
        <w:t>通过大赛邮箱提交完整的不动产估价作品（邮件需注明“参赛作品名称+队长+所在学院+指导老师”）。</w:t>
      </w:r>
    </w:p>
    <w:p w14:paraId="149E9F6D">
      <w:pPr>
        <w:spacing w:line="348" w:lineRule="auto"/>
        <w:ind w:firstLine="480" w:firstLineChars="20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w:t>
      </w:r>
      <w:r>
        <w:rPr>
          <w:rFonts w:ascii="Times New Roman" w:hAnsi="Times New Roman" w:cs="Times New Roman"/>
          <w:sz w:val="24"/>
        </w:rPr>
        <w:t xml:space="preserve"> </w:t>
      </w:r>
      <w:r>
        <w:rPr>
          <w:rFonts w:hint="eastAsia" w:ascii="Times New Roman" w:hAnsi="Times New Roman" w:cs="Times New Roman"/>
          <w:sz w:val="24"/>
        </w:rPr>
        <w:t>作品团队应严格遵守学术道德与学术规范，参赛作品应符合相关法律法规的要求，无知识产权争议，不得存在剽窃、抄袭、伪造、篡改等行为。</w:t>
      </w:r>
    </w:p>
    <w:p w14:paraId="37460072">
      <w:pPr>
        <w:spacing w:line="348" w:lineRule="auto"/>
        <w:ind w:firstLine="480" w:firstLineChars="200"/>
        <w:rPr>
          <w:rFonts w:ascii="Times New Roman" w:hAnsi="Times New Roman" w:cs="Times New Roman"/>
          <w:sz w:val="24"/>
        </w:rPr>
      </w:pPr>
      <w:r>
        <w:rPr>
          <w:rFonts w:ascii="Times New Roman" w:hAnsi="Times New Roman" w:cs="Times New Roman"/>
          <w:sz w:val="24"/>
        </w:rPr>
        <w:t>3</w:t>
      </w:r>
      <w:r>
        <w:rPr>
          <w:rFonts w:hint="eastAsia" w:ascii="Times New Roman" w:hAnsi="Times New Roman" w:cs="Times New Roman"/>
          <w:sz w:val="24"/>
        </w:rPr>
        <w:t>.</w:t>
      </w:r>
      <w:r>
        <w:rPr>
          <w:rFonts w:ascii="Times New Roman" w:hAnsi="Times New Roman" w:cs="Times New Roman"/>
          <w:sz w:val="24"/>
        </w:rPr>
        <w:t xml:space="preserve"> </w:t>
      </w:r>
      <w:r>
        <w:rPr>
          <w:rFonts w:hint="eastAsia" w:ascii="Times New Roman" w:hAnsi="Times New Roman" w:cs="Times New Roman"/>
          <w:sz w:val="24"/>
        </w:rPr>
        <w:t>已参与其他竞赛的获奖作品请勿重复选送。</w:t>
      </w:r>
    </w:p>
    <w:p w14:paraId="56BA5CC3">
      <w:pPr>
        <w:spacing w:line="348" w:lineRule="auto"/>
        <w:rPr>
          <w:b/>
          <w:bCs/>
          <w:sz w:val="24"/>
        </w:rPr>
      </w:pPr>
      <w:r>
        <w:rPr>
          <w:rFonts w:hint="eastAsia"/>
          <w:b/>
          <w:bCs/>
          <w:sz w:val="24"/>
        </w:rPr>
        <w:t>六、大赛时间、地点</w:t>
      </w:r>
    </w:p>
    <w:p w14:paraId="61CE60B9">
      <w:pPr>
        <w:spacing w:line="348" w:lineRule="auto"/>
        <w:ind w:firstLine="480" w:firstLineChars="200"/>
        <w:rPr>
          <w:rFonts w:ascii="Times New Roman" w:hAnsi="Times New Roman" w:cs="Times New Roman"/>
          <w:sz w:val="24"/>
          <w:highlight w:val="none"/>
        </w:rPr>
      </w:pPr>
      <w:bookmarkStart w:id="1" w:name="_GoBack"/>
      <w:r>
        <w:rPr>
          <w:rFonts w:ascii="Times New Roman" w:hAnsi="Times New Roman" w:cs="Times New Roman"/>
          <w:sz w:val="24"/>
          <w:highlight w:val="none"/>
        </w:rPr>
        <w:t>报名截止时间：202</w:t>
      </w:r>
      <w:r>
        <w:rPr>
          <w:rFonts w:hint="eastAsia" w:ascii="Times New Roman" w:hAnsi="Times New Roman" w:cs="Times New Roman"/>
          <w:sz w:val="24"/>
          <w:highlight w:val="none"/>
        </w:rPr>
        <w:t>5</w:t>
      </w:r>
      <w:r>
        <w:rPr>
          <w:rFonts w:ascii="Times New Roman" w:hAnsi="Times New Roman" w:cs="Times New Roman"/>
          <w:sz w:val="24"/>
          <w:highlight w:val="none"/>
        </w:rPr>
        <w:t>年</w:t>
      </w:r>
      <w:r>
        <w:rPr>
          <w:rFonts w:hint="eastAsia" w:ascii="Times New Roman" w:hAnsi="Times New Roman" w:cs="Times New Roman"/>
          <w:sz w:val="24"/>
          <w:highlight w:val="none"/>
        </w:rPr>
        <w:t>11</w:t>
      </w:r>
      <w:r>
        <w:rPr>
          <w:rFonts w:ascii="Times New Roman" w:hAnsi="Times New Roman" w:cs="Times New Roman"/>
          <w:sz w:val="24"/>
          <w:highlight w:val="none"/>
        </w:rPr>
        <w:t>月</w:t>
      </w:r>
      <w:r>
        <w:rPr>
          <w:rFonts w:hint="eastAsia" w:ascii="Times New Roman" w:hAnsi="Times New Roman" w:cs="Times New Roman"/>
          <w:sz w:val="24"/>
          <w:highlight w:val="none"/>
        </w:rPr>
        <w:t>30</w:t>
      </w:r>
      <w:r>
        <w:rPr>
          <w:rFonts w:ascii="Times New Roman" w:hAnsi="Times New Roman" w:cs="Times New Roman"/>
          <w:sz w:val="24"/>
          <w:highlight w:val="none"/>
        </w:rPr>
        <w:t>日24:00</w:t>
      </w:r>
    </w:p>
    <w:p w14:paraId="55DB2B48">
      <w:pPr>
        <w:spacing w:line="348"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参赛作品提交截止时间：202</w:t>
      </w:r>
      <w:r>
        <w:rPr>
          <w:rFonts w:hint="eastAsia" w:ascii="Times New Roman" w:hAnsi="Times New Roman" w:cs="Times New Roman"/>
          <w:sz w:val="24"/>
          <w:highlight w:val="none"/>
        </w:rPr>
        <w:t>6</w:t>
      </w:r>
      <w:r>
        <w:rPr>
          <w:rFonts w:ascii="Times New Roman" w:hAnsi="Times New Roman" w:cs="Times New Roman"/>
          <w:sz w:val="24"/>
          <w:highlight w:val="none"/>
        </w:rPr>
        <w:t>年3月1日24:00</w:t>
      </w:r>
    </w:p>
    <w:p w14:paraId="364E8849">
      <w:pPr>
        <w:spacing w:line="348"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比赛时间：202</w:t>
      </w:r>
      <w:r>
        <w:rPr>
          <w:rFonts w:hint="eastAsia" w:ascii="Times New Roman" w:hAnsi="Times New Roman" w:cs="Times New Roman"/>
          <w:sz w:val="24"/>
          <w:highlight w:val="none"/>
        </w:rPr>
        <w:t>6</w:t>
      </w:r>
      <w:r>
        <w:rPr>
          <w:rFonts w:ascii="Times New Roman" w:hAnsi="Times New Roman" w:cs="Times New Roman"/>
          <w:sz w:val="24"/>
          <w:highlight w:val="none"/>
        </w:rPr>
        <w:t>年3月下旬（暂定）</w:t>
      </w:r>
    </w:p>
    <w:bookmarkEnd w:id="1"/>
    <w:p w14:paraId="73A4E69A">
      <w:pPr>
        <w:spacing w:line="348" w:lineRule="auto"/>
        <w:ind w:firstLine="480" w:firstLineChars="200"/>
        <w:rPr>
          <w:rFonts w:ascii="Times New Roman" w:hAnsi="Times New Roman" w:cs="Times New Roman"/>
          <w:sz w:val="24"/>
        </w:rPr>
      </w:pPr>
      <w:r>
        <w:rPr>
          <w:rFonts w:ascii="Times New Roman" w:hAnsi="Times New Roman" w:cs="Times New Roman"/>
          <w:sz w:val="24"/>
        </w:rPr>
        <w:t>竞赛地点：中国地质大学</w:t>
      </w:r>
      <w:r>
        <w:rPr>
          <w:rFonts w:hint="eastAsia" w:ascii="Times New Roman" w:hAnsi="Times New Roman" w:cs="Times New Roman"/>
          <w:sz w:val="24"/>
        </w:rPr>
        <w:t>（北京）校内</w:t>
      </w:r>
    </w:p>
    <w:p w14:paraId="77071286">
      <w:pPr>
        <w:spacing w:line="348" w:lineRule="auto"/>
        <w:rPr>
          <w:b/>
          <w:bCs/>
          <w:sz w:val="24"/>
        </w:rPr>
      </w:pPr>
      <w:r>
        <w:rPr>
          <w:rFonts w:hint="eastAsia"/>
          <w:b/>
          <w:bCs/>
          <w:sz w:val="24"/>
        </w:rPr>
        <w:t>七、大赛奖项设置</w:t>
      </w:r>
    </w:p>
    <w:p w14:paraId="2A882015">
      <w:pPr>
        <w:spacing w:line="348" w:lineRule="auto"/>
        <w:ind w:firstLine="480" w:firstLineChars="200"/>
        <w:rPr>
          <w:rFonts w:ascii="Times New Roman" w:hAnsi="Times New Roman" w:cs="Times New Roman"/>
          <w:sz w:val="24"/>
        </w:rPr>
      </w:pPr>
      <w:r>
        <w:rPr>
          <w:rFonts w:hint="eastAsia" w:ascii="Times New Roman" w:hAnsi="Times New Roman" w:cs="Times New Roman"/>
          <w:sz w:val="24"/>
        </w:rPr>
        <w:t>本届大赛设一等奖、二等奖、三等奖和优秀奖，具体数量依据参赛队伍数量和作品质量综合确定。</w:t>
      </w:r>
    </w:p>
    <w:p w14:paraId="1E8F78A0">
      <w:pPr>
        <w:spacing w:line="348" w:lineRule="auto"/>
        <w:rPr>
          <w:b/>
          <w:bCs/>
          <w:sz w:val="24"/>
        </w:rPr>
      </w:pPr>
      <w:r>
        <w:rPr>
          <w:rFonts w:hint="eastAsia"/>
          <w:b/>
          <w:bCs/>
          <w:sz w:val="24"/>
        </w:rPr>
        <w:t>八、联系方式</w:t>
      </w:r>
    </w:p>
    <w:p w14:paraId="4ABBCFDA">
      <w:pPr>
        <w:spacing w:line="348" w:lineRule="auto"/>
        <w:ind w:firstLine="480" w:firstLineChars="200"/>
        <w:rPr>
          <w:rFonts w:ascii="Times New Roman" w:hAnsi="Times New Roman" w:cs="Times New Roman"/>
          <w:sz w:val="24"/>
        </w:rPr>
      </w:pPr>
      <w:r>
        <w:rPr>
          <w:rFonts w:hint="eastAsia" w:ascii="Times New Roman" w:hAnsi="Times New Roman" w:cs="Times New Roman"/>
          <w:sz w:val="24"/>
        </w:rPr>
        <w:t>大赛邮箱：zgdzdxgjds@163.com</w:t>
      </w:r>
    </w:p>
    <w:p w14:paraId="572DBF24">
      <w:pPr>
        <w:spacing w:line="348" w:lineRule="auto"/>
        <w:ind w:firstLine="480" w:firstLineChars="200"/>
        <w:rPr>
          <w:rFonts w:ascii="Times New Roman" w:hAnsi="Times New Roman" w:cs="Times New Roman"/>
          <w:sz w:val="24"/>
        </w:rPr>
      </w:pPr>
      <w:r>
        <w:rPr>
          <w:rFonts w:hint="eastAsia" w:ascii="Times New Roman" w:hAnsi="Times New Roman" w:cs="Times New Roman"/>
          <w:sz w:val="24"/>
        </w:rPr>
        <w:t>联系人与联系方式：</w:t>
      </w:r>
    </w:p>
    <w:p w14:paraId="44F9728B">
      <w:pPr>
        <w:spacing w:line="348" w:lineRule="auto"/>
        <w:ind w:firstLine="480" w:firstLineChars="200"/>
        <w:rPr>
          <w:rFonts w:ascii="Times New Roman" w:hAnsi="Times New Roman" w:cs="Times New Roman"/>
          <w:sz w:val="24"/>
        </w:rPr>
      </w:pPr>
      <w:r>
        <w:rPr>
          <w:rFonts w:hint="eastAsia" w:ascii="Times New Roman" w:hAnsi="Times New Roman" w:cs="Times New Roman"/>
          <w:sz w:val="24"/>
        </w:rPr>
        <w:t>王振宇：</w:t>
      </w:r>
      <w:r>
        <w:rPr>
          <w:rFonts w:ascii="Times New Roman" w:hAnsi="Times New Roman" w:cs="Times New Roman"/>
          <w:sz w:val="24"/>
        </w:rPr>
        <w:t>2022010043@cugb.edu.cn</w:t>
      </w:r>
    </w:p>
    <w:p w14:paraId="4AF4035B">
      <w:pPr>
        <w:spacing w:line="348"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李星光：447474492@qq.com</w:t>
      </w:r>
    </w:p>
    <w:p w14:paraId="718C7336">
      <w:pPr>
        <w:spacing w:line="360" w:lineRule="auto"/>
        <w:rPr>
          <w:rFonts w:hint="eastAsia" w:ascii="仿宋" w:hAnsi="仿宋" w:eastAsia="仿宋" w:cs="宋体"/>
          <w:b/>
          <w:bCs/>
          <w:kern w:val="36"/>
          <w:sz w:val="28"/>
          <w:szCs w:val="30"/>
        </w:rPr>
      </w:pPr>
      <w:r>
        <w:rPr>
          <w:rFonts w:hint="eastAsia" w:ascii="仿宋" w:hAnsi="仿宋" w:eastAsia="仿宋" w:cs="宋体"/>
          <w:b/>
          <w:bCs/>
          <w:kern w:val="36"/>
          <w:sz w:val="28"/>
          <w:szCs w:val="30"/>
        </w:rPr>
        <w:t>附件1</w:t>
      </w:r>
    </w:p>
    <w:p w14:paraId="65BA87EB">
      <w:pPr>
        <w:jc w:val="center"/>
        <w:rPr>
          <w:rFonts w:hint="eastAsia" w:ascii="仿宋" w:hAnsi="仿宋" w:eastAsia="仿宋" w:cs="宋体"/>
          <w:b/>
          <w:bCs/>
          <w:kern w:val="36"/>
          <w:sz w:val="28"/>
          <w:szCs w:val="30"/>
        </w:rPr>
      </w:pPr>
      <w:r>
        <w:rPr>
          <w:rFonts w:hint="eastAsia" w:ascii="仿宋" w:hAnsi="仿宋" w:eastAsia="仿宋" w:cs="宋体"/>
          <w:b/>
          <w:bCs/>
          <w:kern w:val="36"/>
          <w:sz w:val="28"/>
          <w:szCs w:val="30"/>
        </w:rPr>
        <w:t>中国地质大学（北京）第三届大学生不动产估价技能大赛报名表</w:t>
      </w:r>
    </w:p>
    <w:p w14:paraId="7F8FC98F">
      <w:pPr>
        <w:jc w:val="center"/>
        <w:rPr>
          <w:rFonts w:hint="eastAsia" w:ascii="黑体" w:hAnsi="黑体" w:eastAsia="黑体"/>
          <w:sz w:val="28"/>
          <w:szCs w:val="28"/>
        </w:rPr>
      </w:pPr>
      <w:r>
        <w:rPr>
          <w:rFonts w:hint="eastAsia" w:ascii="仿宋" w:hAnsi="仿宋" w:eastAsia="仿宋" w:cs="宋体"/>
          <w:b/>
          <w:bCs/>
          <w:kern w:val="36"/>
          <w:sz w:val="28"/>
          <w:szCs w:val="30"/>
        </w:rPr>
        <w:t>（参赛团队填报）</w:t>
      </w:r>
    </w:p>
    <w:tbl>
      <w:tblPr>
        <w:tblStyle w:val="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84"/>
        <w:gridCol w:w="268"/>
        <w:gridCol w:w="1561"/>
        <w:gridCol w:w="1085"/>
        <w:gridCol w:w="573"/>
        <w:gridCol w:w="917"/>
        <w:gridCol w:w="944"/>
        <w:gridCol w:w="2111"/>
      </w:tblGrid>
      <w:tr w14:paraId="7781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0" w:type="dxa"/>
            <w:gridSpan w:val="2"/>
            <w:vAlign w:val="center"/>
          </w:tcPr>
          <w:p w14:paraId="6CDE7187">
            <w:pPr>
              <w:jc w:val="center"/>
              <w:rPr>
                <w:rFonts w:hint="eastAsia" w:ascii="仿宋" w:hAnsi="仿宋" w:eastAsia="仿宋"/>
                <w:sz w:val="24"/>
              </w:rPr>
            </w:pPr>
            <w:r>
              <w:rPr>
                <w:rFonts w:hint="eastAsia" w:ascii="仿宋" w:hAnsi="仿宋" w:eastAsia="仿宋"/>
                <w:sz w:val="24"/>
              </w:rPr>
              <w:t>作品名称</w:t>
            </w:r>
          </w:p>
        </w:tc>
        <w:tc>
          <w:tcPr>
            <w:tcW w:w="7459" w:type="dxa"/>
            <w:gridSpan w:val="7"/>
            <w:vAlign w:val="center"/>
          </w:tcPr>
          <w:p w14:paraId="3301C46A">
            <w:pPr>
              <w:jc w:val="center"/>
              <w:rPr>
                <w:rFonts w:hint="eastAsia" w:ascii="仿宋" w:hAnsi="仿宋" w:eastAsia="仿宋"/>
                <w:sz w:val="24"/>
              </w:rPr>
            </w:pPr>
          </w:p>
        </w:tc>
      </w:tr>
      <w:tr w14:paraId="2FF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0" w:type="dxa"/>
            <w:gridSpan w:val="2"/>
            <w:vAlign w:val="center"/>
          </w:tcPr>
          <w:p w14:paraId="7B0B50D0">
            <w:pPr>
              <w:jc w:val="center"/>
              <w:rPr>
                <w:rFonts w:hint="eastAsia" w:ascii="仿宋" w:hAnsi="仿宋" w:eastAsia="仿宋"/>
                <w:sz w:val="24"/>
              </w:rPr>
            </w:pPr>
            <w:r>
              <w:rPr>
                <w:rFonts w:hint="eastAsia" w:ascii="仿宋" w:hAnsi="仿宋" w:eastAsia="仿宋"/>
                <w:sz w:val="24"/>
              </w:rPr>
              <w:t xml:space="preserve">学 </w:t>
            </w:r>
            <w:r>
              <w:rPr>
                <w:rFonts w:ascii="仿宋" w:hAnsi="仿宋" w:eastAsia="仿宋"/>
                <w:sz w:val="24"/>
              </w:rPr>
              <w:t xml:space="preserve">   </w:t>
            </w:r>
            <w:r>
              <w:rPr>
                <w:rFonts w:hint="eastAsia" w:ascii="仿宋" w:hAnsi="仿宋" w:eastAsia="仿宋"/>
                <w:sz w:val="24"/>
              </w:rPr>
              <w:t>院</w:t>
            </w:r>
          </w:p>
        </w:tc>
        <w:tc>
          <w:tcPr>
            <w:tcW w:w="2914" w:type="dxa"/>
            <w:gridSpan w:val="3"/>
            <w:vAlign w:val="center"/>
          </w:tcPr>
          <w:p w14:paraId="49BE3999">
            <w:pPr>
              <w:jc w:val="center"/>
              <w:rPr>
                <w:rFonts w:hint="eastAsia" w:ascii="仿宋" w:hAnsi="仿宋" w:eastAsia="仿宋"/>
                <w:sz w:val="24"/>
              </w:rPr>
            </w:pPr>
          </w:p>
        </w:tc>
        <w:tc>
          <w:tcPr>
            <w:tcW w:w="1490" w:type="dxa"/>
            <w:gridSpan w:val="2"/>
            <w:vAlign w:val="center"/>
          </w:tcPr>
          <w:p w14:paraId="4CFD2047">
            <w:pPr>
              <w:jc w:val="center"/>
              <w:rPr>
                <w:rFonts w:hint="eastAsia" w:ascii="仿宋" w:hAnsi="仿宋" w:eastAsia="仿宋"/>
                <w:sz w:val="24"/>
              </w:rPr>
            </w:pPr>
            <w:r>
              <w:rPr>
                <w:rFonts w:hint="eastAsia" w:ascii="仿宋" w:hAnsi="仿宋" w:eastAsia="仿宋"/>
                <w:sz w:val="24"/>
              </w:rPr>
              <w:t xml:space="preserve">专 </w:t>
            </w:r>
            <w:r>
              <w:rPr>
                <w:rFonts w:ascii="仿宋" w:hAnsi="仿宋" w:eastAsia="仿宋"/>
                <w:sz w:val="24"/>
              </w:rPr>
              <w:t xml:space="preserve">   </w:t>
            </w:r>
            <w:r>
              <w:rPr>
                <w:rFonts w:hint="eastAsia" w:ascii="仿宋" w:hAnsi="仿宋" w:eastAsia="仿宋"/>
                <w:sz w:val="24"/>
              </w:rPr>
              <w:t>业</w:t>
            </w:r>
          </w:p>
        </w:tc>
        <w:tc>
          <w:tcPr>
            <w:tcW w:w="3055" w:type="dxa"/>
            <w:gridSpan w:val="2"/>
            <w:vAlign w:val="center"/>
          </w:tcPr>
          <w:p w14:paraId="3A18AEC4">
            <w:pPr>
              <w:jc w:val="center"/>
              <w:rPr>
                <w:rFonts w:hint="eastAsia" w:ascii="仿宋" w:hAnsi="仿宋" w:eastAsia="仿宋"/>
                <w:sz w:val="24"/>
              </w:rPr>
            </w:pPr>
          </w:p>
        </w:tc>
      </w:tr>
      <w:tr w14:paraId="23EE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gridSpan w:val="2"/>
            <w:vMerge w:val="restart"/>
            <w:vAlign w:val="center"/>
          </w:tcPr>
          <w:p w14:paraId="399D4452">
            <w:pPr>
              <w:jc w:val="center"/>
              <w:rPr>
                <w:rFonts w:hint="eastAsia" w:ascii="仿宋" w:hAnsi="仿宋" w:eastAsia="仿宋"/>
                <w:sz w:val="24"/>
              </w:rPr>
            </w:pPr>
            <w:r>
              <w:rPr>
                <w:rFonts w:hint="eastAsia" w:ascii="仿宋" w:hAnsi="仿宋" w:eastAsia="仿宋"/>
                <w:sz w:val="24"/>
              </w:rPr>
              <w:t>指导教师</w:t>
            </w:r>
          </w:p>
        </w:tc>
        <w:tc>
          <w:tcPr>
            <w:tcW w:w="2914" w:type="dxa"/>
            <w:gridSpan w:val="3"/>
            <w:vMerge w:val="restart"/>
            <w:vAlign w:val="center"/>
          </w:tcPr>
          <w:p w14:paraId="1F1AFBB0">
            <w:pPr>
              <w:jc w:val="center"/>
              <w:rPr>
                <w:rFonts w:hint="eastAsia" w:ascii="仿宋" w:hAnsi="仿宋" w:eastAsia="仿宋"/>
                <w:sz w:val="24"/>
              </w:rPr>
            </w:pPr>
          </w:p>
        </w:tc>
        <w:tc>
          <w:tcPr>
            <w:tcW w:w="1490" w:type="dxa"/>
            <w:gridSpan w:val="2"/>
            <w:vAlign w:val="center"/>
          </w:tcPr>
          <w:p w14:paraId="3EC54150">
            <w:pPr>
              <w:jc w:val="center"/>
              <w:rPr>
                <w:rFonts w:hint="eastAsia" w:ascii="仿宋" w:hAnsi="仿宋" w:eastAsia="仿宋"/>
                <w:sz w:val="24"/>
              </w:rPr>
            </w:pPr>
            <w:r>
              <w:rPr>
                <w:rFonts w:hint="eastAsia" w:ascii="仿宋" w:hAnsi="仿宋" w:eastAsia="仿宋"/>
                <w:color w:val="000000"/>
                <w:sz w:val="24"/>
              </w:rPr>
              <w:t>邮    箱</w:t>
            </w:r>
          </w:p>
        </w:tc>
        <w:tc>
          <w:tcPr>
            <w:tcW w:w="3055" w:type="dxa"/>
            <w:gridSpan w:val="2"/>
            <w:vAlign w:val="center"/>
          </w:tcPr>
          <w:p w14:paraId="02D69FCC">
            <w:pPr>
              <w:jc w:val="center"/>
              <w:rPr>
                <w:rFonts w:hint="eastAsia" w:ascii="仿宋" w:hAnsi="仿宋" w:eastAsia="仿宋"/>
                <w:color w:val="000000"/>
                <w:sz w:val="24"/>
              </w:rPr>
            </w:pPr>
          </w:p>
        </w:tc>
      </w:tr>
      <w:tr w14:paraId="4C5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vMerge w:val="continue"/>
            <w:vAlign w:val="center"/>
          </w:tcPr>
          <w:p w14:paraId="23824202">
            <w:pPr>
              <w:jc w:val="center"/>
              <w:rPr>
                <w:rFonts w:hint="eastAsia" w:ascii="仿宋" w:hAnsi="仿宋" w:eastAsia="仿宋"/>
                <w:sz w:val="24"/>
              </w:rPr>
            </w:pPr>
          </w:p>
        </w:tc>
        <w:tc>
          <w:tcPr>
            <w:tcW w:w="2914" w:type="dxa"/>
            <w:gridSpan w:val="3"/>
            <w:vMerge w:val="continue"/>
            <w:vAlign w:val="center"/>
          </w:tcPr>
          <w:p w14:paraId="4EC3A36D">
            <w:pPr>
              <w:jc w:val="center"/>
              <w:rPr>
                <w:rFonts w:hint="eastAsia" w:ascii="仿宋" w:hAnsi="仿宋" w:eastAsia="仿宋"/>
                <w:sz w:val="24"/>
              </w:rPr>
            </w:pPr>
          </w:p>
        </w:tc>
        <w:tc>
          <w:tcPr>
            <w:tcW w:w="1490" w:type="dxa"/>
            <w:gridSpan w:val="2"/>
            <w:vAlign w:val="center"/>
          </w:tcPr>
          <w:p w14:paraId="0A49F761">
            <w:pPr>
              <w:jc w:val="center"/>
              <w:rPr>
                <w:rFonts w:hint="eastAsia" w:ascii="仿宋" w:hAnsi="仿宋" w:eastAsia="仿宋"/>
                <w:color w:val="000000"/>
                <w:sz w:val="24"/>
              </w:rPr>
            </w:pPr>
            <w:r>
              <w:rPr>
                <w:rFonts w:hint="eastAsia" w:ascii="仿宋" w:hAnsi="仿宋" w:eastAsia="仿宋"/>
                <w:sz w:val="24"/>
              </w:rPr>
              <w:t>联系电话</w:t>
            </w:r>
          </w:p>
        </w:tc>
        <w:tc>
          <w:tcPr>
            <w:tcW w:w="3055" w:type="dxa"/>
            <w:gridSpan w:val="2"/>
            <w:vAlign w:val="center"/>
          </w:tcPr>
          <w:p w14:paraId="4E40A523">
            <w:pPr>
              <w:jc w:val="center"/>
              <w:rPr>
                <w:rFonts w:hint="eastAsia" w:ascii="仿宋" w:hAnsi="仿宋" w:eastAsia="仿宋"/>
                <w:color w:val="000000"/>
                <w:sz w:val="24"/>
              </w:rPr>
            </w:pPr>
          </w:p>
        </w:tc>
      </w:tr>
      <w:tr w14:paraId="69B7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gridSpan w:val="2"/>
            <w:vMerge w:val="restart"/>
            <w:vAlign w:val="center"/>
          </w:tcPr>
          <w:p w14:paraId="1F9E71B4">
            <w:pPr>
              <w:jc w:val="center"/>
              <w:rPr>
                <w:rFonts w:hint="eastAsia" w:ascii="仿宋" w:hAnsi="仿宋" w:eastAsia="仿宋"/>
                <w:sz w:val="24"/>
              </w:rPr>
            </w:pPr>
            <w:r>
              <w:rPr>
                <w:rFonts w:hint="eastAsia" w:ascii="仿宋" w:hAnsi="仿宋" w:eastAsia="仿宋"/>
                <w:sz w:val="24"/>
              </w:rPr>
              <w:t>联 系 人</w:t>
            </w:r>
          </w:p>
          <w:p w14:paraId="52EE7AAD">
            <w:pPr>
              <w:jc w:val="center"/>
              <w:rPr>
                <w:rFonts w:hint="eastAsia" w:ascii="仿宋" w:hAnsi="仿宋" w:eastAsia="仿宋"/>
                <w:sz w:val="24"/>
              </w:rPr>
            </w:pPr>
            <w:r>
              <w:rPr>
                <w:rFonts w:hint="eastAsia" w:ascii="仿宋" w:hAnsi="仿宋" w:eastAsia="仿宋"/>
                <w:sz w:val="24"/>
              </w:rPr>
              <w:t>（队长）</w:t>
            </w:r>
          </w:p>
        </w:tc>
        <w:tc>
          <w:tcPr>
            <w:tcW w:w="2914" w:type="dxa"/>
            <w:gridSpan w:val="3"/>
            <w:vMerge w:val="restart"/>
            <w:vAlign w:val="center"/>
          </w:tcPr>
          <w:p w14:paraId="6636352C">
            <w:pPr>
              <w:jc w:val="center"/>
              <w:rPr>
                <w:rFonts w:hint="eastAsia" w:ascii="仿宋" w:hAnsi="仿宋" w:eastAsia="仿宋"/>
                <w:sz w:val="24"/>
              </w:rPr>
            </w:pPr>
          </w:p>
        </w:tc>
        <w:tc>
          <w:tcPr>
            <w:tcW w:w="1490" w:type="dxa"/>
            <w:gridSpan w:val="2"/>
            <w:vAlign w:val="center"/>
          </w:tcPr>
          <w:p w14:paraId="51C3AA53">
            <w:pPr>
              <w:jc w:val="center"/>
              <w:rPr>
                <w:rFonts w:hint="eastAsia" w:ascii="仿宋" w:hAnsi="仿宋" w:eastAsia="仿宋"/>
                <w:sz w:val="24"/>
              </w:rPr>
            </w:pPr>
            <w:r>
              <w:rPr>
                <w:rFonts w:hint="eastAsia" w:ascii="仿宋" w:hAnsi="仿宋" w:eastAsia="仿宋"/>
                <w:color w:val="000000"/>
                <w:sz w:val="24"/>
              </w:rPr>
              <w:t>邮    箱</w:t>
            </w:r>
          </w:p>
        </w:tc>
        <w:tc>
          <w:tcPr>
            <w:tcW w:w="3055" w:type="dxa"/>
            <w:gridSpan w:val="2"/>
            <w:vAlign w:val="center"/>
          </w:tcPr>
          <w:p w14:paraId="71E90926">
            <w:pPr>
              <w:jc w:val="center"/>
              <w:rPr>
                <w:rFonts w:hint="eastAsia" w:ascii="仿宋" w:hAnsi="仿宋" w:eastAsia="仿宋"/>
                <w:color w:val="000000"/>
                <w:sz w:val="24"/>
              </w:rPr>
            </w:pPr>
          </w:p>
        </w:tc>
      </w:tr>
      <w:tr w14:paraId="4DD0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vMerge w:val="continue"/>
            <w:vAlign w:val="center"/>
          </w:tcPr>
          <w:p w14:paraId="55A3B71A">
            <w:pPr>
              <w:jc w:val="center"/>
              <w:rPr>
                <w:rFonts w:hint="eastAsia" w:ascii="仿宋" w:hAnsi="仿宋" w:eastAsia="仿宋"/>
                <w:sz w:val="24"/>
              </w:rPr>
            </w:pPr>
          </w:p>
        </w:tc>
        <w:tc>
          <w:tcPr>
            <w:tcW w:w="2914" w:type="dxa"/>
            <w:gridSpan w:val="3"/>
            <w:vMerge w:val="continue"/>
            <w:vAlign w:val="center"/>
          </w:tcPr>
          <w:p w14:paraId="6DEA9F1F">
            <w:pPr>
              <w:jc w:val="center"/>
              <w:rPr>
                <w:rFonts w:hint="eastAsia" w:ascii="仿宋" w:hAnsi="仿宋" w:eastAsia="仿宋"/>
                <w:sz w:val="24"/>
              </w:rPr>
            </w:pPr>
          </w:p>
        </w:tc>
        <w:tc>
          <w:tcPr>
            <w:tcW w:w="1490" w:type="dxa"/>
            <w:gridSpan w:val="2"/>
            <w:vAlign w:val="center"/>
          </w:tcPr>
          <w:p w14:paraId="65E97D0D">
            <w:pPr>
              <w:jc w:val="center"/>
              <w:rPr>
                <w:rFonts w:hint="eastAsia" w:ascii="仿宋" w:hAnsi="仿宋" w:eastAsia="仿宋"/>
                <w:color w:val="000000"/>
                <w:sz w:val="24"/>
              </w:rPr>
            </w:pPr>
            <w:r>
              <w:rPr>
                <w:rFonts w:hint="eastAsia" w:ascii="仿宋" w:hAnsi="仿宋" w:eastAsia="仿宋"/>
                <w:sz w:val="24"/>
              </w:rPr>
              <w:t>联系电话</w:t>
            </w:r>
          </w:p>
        </w:tc>
        <w:tc>
          <w:tcPr>
            <w:tcW w:w="3055" w:type="dxa"/>
            <w:gridSpan w:val="2"/>
            <w:vAlign w:val="center"/>
          </w:tcPr>
          <w:p w14:paraId="0BB72CCF">
            <w:pPr>
              <w:jc w:val="center"/>
              <w:rPr>
                <w:rFonts w:hint="eastAsia" w:ascii="仿宋" w:hAnsi="仿宋" w:eastAsia="仿宋"/>
                <w:color w:val="000000"/>
                <w:sz w:val="24"/>
              </w:rPr>
            </w:pPr>
          </w:p>
        </w:tc>
      </w:tr>
      <w:tr w14:paraId="0F6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9" w:type="dxa"/>
            <w:gridSpan w:val="9"/>
            <w:vAlign w:val="center"/>
          </w:tcPr>
          <w:p w14:paraId="4BCA5154">
            <w:pPr>
              <w:jc w:val="center"/>
              <w:rPr>
                <w:rFonts w:hint="eastAsia" w:ascii="仿宋" w:hAnsi="仿宋" w:eastAsia="仿宋"/>
                <w:sz w:val="24"/>
              </w:rPr>
            </w:pPr>
            <w:r>
              <w:rPr>
                <w:rFonts w:hint="eastAsia" w:ascii="仿宋" w:hAnsi="仿宋" w:eastAsia="仿宋"/>
                <w:sz w:val="24"/>
              </w:rPr>
              <w:t>团队成员</w:t>
            </w:r>
          </w:p>
        </w:tc>
      </w:tr>
      <w:tr w14:paraId="1D6B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6" w:type="dxa"/>
            <w:vAlign w:val="center"/>
          </w:tcPr>
          <w:p w14:paraId="63C2B9F4">
            <w:pPr>
              <w:jc w:val="center"/>
              <w:rPr>
                <w:rFonts w:hint="eastAsia" w:ascii="仿宋" w:hAnsi="仿宋" w:eastAsia="仿宋"/>
                <w:sz w:val="24"/>
              </w:rPr>
            </w:pPr>
            <w:r>
              <w:rPr>
                <w:rFonts w:hint="eastAsia" w:ascii="仿宋" w:hAnsi="仿宋" w:eastAsia="仿宋"/>
                <w:sz w:val="24"/>
              </w:rPr>
              <w:t>序号</w:t>
            </w:r>
          </w:p>
        </w:tc>
        <w:tc>
          <w:tcPr>
            <w:tcW w:w="1052" w:type="dxa"/>
            <w:gridSpan w:val="2"/>
            <w:vAlign w:val="center"/>
          </w:tcPr>
          <w:p w14:paraId="093FDA5B">
            <w:pPr>
              <w:jc w:val="center"/>
              <w:rPr>
                <w:rFonts w:hint="eastAsia" w:ascii="仿宋" w:hAnsi="仿宋" w:eastAsia="仿宋"/>
                <w:sz w:val="24"/>
              </w:rPr>
            </w:pPr>
            <w:r>
              <w:rPr>
                <w:rFonts w:hint="eastAsia" w:ascii="仿宋" w:hAnsi="仿宋" w:eastAsia="仿宋"/>
                <w:sz w:val="24"/>
              </w:rPr>
              <w:t>姓名</w:t>
            </w:r>
          </w:p>
        </w:tc>
        <w:tc>
          <w:tcPr>
            <w:tcW w:w="1561" w:type="dxa"/>
            <w:vAlign w:val="center"/>
          </w:tcPr>
          <w:p w14:paraId="6A19B8C7">
            <w:pPr>
              <w:jc w:val="center"/>
              <w:rPr>
                <w:rFonts w:hint="eastAsia" w:ascii="仿宋" w:hAnsi="仿宋" w:eastAsia="仿宋"/>
                <w:sz w:val="24"/>
              </w:rPr>
            </w:pPr>
            <w:r>
              <w:rPr>
                <w:rFonts w:hint="eastAsia" w:ascii="仿宋" w:hAnsi="仿宋" w:eastAsia="仿宋"/>
                <w:sz w:val="24"/>
              </w:rPr>
              <w:t>学院</w:t>
            </w:r>
          </w:p>
        </w:tc>
        <w:tc>
          <w:tcPr>
            <w:tcW w:w="1658" w:type="dxa"/>
            <w:gridSpan w:val="2"/>
            <w:vAlign w:val="center"/>
          </w:tcPr>
          <w:p w14:paraId="6BD40508">
            <w:pPr>
              <w:jc w:val="center"/>
              <w:rPr>
                <w:rFonts w:hint="eastAsia" w:ascii="仿宋" w:hAnsi="仿宋" w:eastAsia="仿宋"/>
                <w:sz w:val="24"/>
              </w:rPr>
            </w:pPr>
            <w:r>
              <w:rPr>
                <w:rFonts w:hint="eastAsia" w:ascii="仿宋" w:hAnsi="仿宋" w:eastAsia="仿宋"/>
                <w:sz w:val="24"/>
              </w:rPr>
              <w:t>专业</w:t>
            </w:r>
          </w:p>
        </w:tc>
        <w:tc>
          <w:tcPr>
            <w:tcW w:w="1861" w:type="dxa"/>
            <w:gridSpan w:val="2"/>
            <w:vAlign w:val="center"/>
          </w:tcPr>
          <w:p w14:paraId="6A0CF7ED">
            <w:pPr>
              <w:jc w:val="center"/>
              <w:rPr>
                <w:rFonts w:hint="eastAsia" w:ascii="仿宋" w:hAnsi="仿宋" w:eastAsia="仿宋"/>
                <w:sz w:val="24"/>
              </w:rPr>
            </w:pPr>
            <w:r>
              <w:rPr>
                <w:rFonts w:hint="eastAsia" w:ascii="仿宋" w:hAnsi="仿宋" w:eastAsia="仿宋"/>
                <w:sz w:val="24"/>
              </w:rPr>
              <w:t>学号</w:t>
            </w:r>
          </w:p>
        </w:tc>
        <w:tc>
          <w:tcPr>
            <w:tcW w:w="2111" w:type="dxa"/>
            <w:vAlign w:val="center"/>
          </w:tcPr>
          <w:p w14:paraId="52FE996E">
            <w:pPr>
              <w:jc w:val="center"/>
              <w:rPr>
                <w:rFonts w:hint="eastAsia" w:ascii="仿宋" w:hAnsi="仿宋" w:eastAsia="仿宋"/>
                <w:sz w:val="24"/>
              </w:rPr>
            </w:pPr>
            <w:r>
              <w:rPr>
                <w:rFonts w:hint="eastAsia" w:ascii="仿宋" w:hAnsi="仿宋" w:eastAsia="仿宋"/>
                <w:sz w:val="24"/>
              </w:rPr>
              <w:t>任务分工</w:t>
            </w:r>
          </w:p>
        </w:tc>
      </w:tr>
      <w:tr w14:paraId="00A3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6" w:type="dxa"/>
            <w:vAlign w:val="center"/>
          </w:tcPr>
          <w:p w14:paraId="15E6323F">
            <w:pPr>
              <w:jc w:val="center"/>
              <w:rPr>
                <w:rFonts w:hint="eastAsia" w:ascii="仿宋" w:hAnsi="仿宋" w:eastAsia="仿宋"/>
                <w:sz w:val="24"/>
              </w:rPr>
            </w:pPr>
            <w:r>
              <w:rPr>
                <w:rFonts w:hint="eastAsia" w:ascii="仿宋" w:hAnsi="仿宋" w:eastAsia="仿宋"/>
                <w:sz w:val="24"/>
              </w:rPr>
              <w:t>1</w:t>
            </w:r>
          </w:p>
        </w:tc>
        <w:tc>
          <w:tcPr>
            <w:tcW w:w="1052" w:type="dxa"/>
            <w:gridSpan w:val="2"/>
            <w:vAlign w:val="center"/>
          </w:tcPr>
          <w:p w14:paraId="6B1C7ACD">
            <w:pPr>
              <w:jc w:val="center"/>
              <w:rPr>
                <w:rFonts w:hint="eastAsia" w:ascii="仿宋" w:hAnsi="仿宋" w:eastAsia="仿宋"/>
                <w:sz w:val="24"/>
              </w:rPr>
            </w:pPr>
          </w:p>
        </w:tc>
        <w:tc>
          <w:tcPr>
            <w:tcW w:w="1561" w:type="dxa"/>
            <w:vAlign w:val="center"/>
          </w:tcPr>
          <w:p w14:paraId="333A8D77">
            <w:pPr>
              <w:jc w:val="center"/>
              <w:rPr>
                <w:rFonts w:hint="eastAsia" w:ascii="仿宋" w:hAnsi="仿宋" w:eastAsia="仿宋"/>
                <w:sz w:val="24"/>
              </w:rPr>
            </w:pPr>
          </w:p>
        </w:tc>
        <w:tc>
          <w:tcPr>
            <w:tcW w:w="1658" w:type="dxa"/>
            <w:gridSpan w:val="2"/>
            <w:vAlign w:val="center"/>
          </w:tcPr>
          <w:p w14:paraId="407381B9">
            <w:pPr>
              <w:jc w:val="center"/>
              <w:rPr>
                <w:rFonts w:hint="eastAsia" w:ascii="仿宋" w:hAnsi="仿宋" w:eastAsia="仿宋"/>
                <w:sz w:val="24"/>
              </w:rPr>
            </w:pPr>
          </w:p>
        </w:tc>
        <w:tc>
          <w:tcPr>
            <w:tcW w:w="1861" w:type="dxa"/>
            <w:gridSpan w:val="2"/>
            <w:vAlign w:val="center"/>
          </w:tcPr>
          <w:p w14:paraId="40A96C10">
            <w:pPr>
              <w:jc w:val="center"/>
              <w:rPr>
                <w:rFonts w:hint="eastAsia" w:ascii="仿宋" w:hAnsi="仿宋" w:eastAsia="仿宋"/>
                <w:sz w:val="24"/>
              </w:rPr>
            </w:pPr>
          </w:p>
        </w:tc>
        <w:tc>
          <w:tcPr>
            <w:tcW w:w="2111" w:type="dxa"/>
            <w:vAlign w:val="center"/>
          </w:tcPr>
          <w:p w14:paraId="71EA3849">
            <w:pPr>
              <w:jc w:val="center"/>
              <w:rPr>
                <w:rFonts w:hint="eastAsia" w:ascii="仿宋" w:hAnsi="仿宋" w:eastAsia="仿宋"/>
                <w:sz w:val="24"/>
              </w:rPr>
            </w:pPr>
          </w:p>
        </w:tc>
      </w:tr>
      <w:tr w14:paraId="3DC9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6" w:type="dxa"/>
            <w:vAlign w:val="center"/>
          </w:tcPr>
          <w:p w14:paraId="379E414C">
            <w:pPr>
              <w:jc w:val="center"/>
              <w:rPr>
                <w:rFonts w:hint="eastAsia" w:ascii="仿宋" w:hAnsi="仿宋" w:eastAsia="仿宋"/>
                <w:sz w:val="24"/>
              </w:rPr>
            </w:pPr>
            <w:r>
              <w:rPr>
                <w:rFonts w:hint="eastAsia" w:ascii="仿宋" w:hAnsi="仿宋" w:eastAsia="仿宋"/>
                <w:sz w:val="24"/>
              </w:rPr>
              <w:t>2</w:t>
            </w:r>
          </w:p>
        </w:tc>
        <w:tc>
          <w:tcPr>
            <w:tcW w:w="1052" w:type="dxa"/>
            <w:gridSpan w:val="2"/>
            <w:vAlign w:val="center"/>
          </w:tcPr>
          <w:p w14:paraId="6CA03C79">
            <w:pPr>
              <w:jc w:val="center"/>
              <w:rPr>
                <w:rFonts w:hint="eastAsia" w:ascii="仿宋" w:hAnsi="仿宋" w:eastAsia="仿宋"/>
                <w:sz w:val="24"/>
              </w:rPr>
            </w:pPr>
          </w:p>
        </w:tc>
        <w:tc>
          <w:tcPr>
            <w:tcW w:w="1561" w:type="dxa"/>
            <w:vAlign w:val="center"/>
          </w:tcPr>
          <w:p w14:paraId="4D858D1A">
            <w:pPr>
              <w:jc w:val="center"/>
              <w:rPr>
                <w:rFonts w:hint="eastAsia" w:ascii="仿宋" w:hAnsi="仿宋" w:eastAsia="仿宋"/>
                <w:sz w:val="24"/>
              </w:rPr>
            </w:pPr>
          </w:p>
        </w:tc>
        <w:tc>
          <w:tcPr>
            <w:tcW w:w="1658" w:type="dxa"/>
            <w:gridSpan w:val="2"/>
            <w:vAlign w:val="center"/>
          </w:tcPr>
          <w:p w14:paraId="4521C25B">
            <w:pPr>
              <w:jc w:val="center"/>
              <w:rPr>
                <w:rFonts w:hint="eastAsia" w:ascii="仿宋" w:hAnsi="仿宋" w:eastAsia="仿宋"/>
                <w:sz w:val="24"/>
              </w:rPr>
            </w:pPr>
          </w:p>
        </w:tc>
        <w:tc>
          <w:tcPr>
            <w:tcW w:w="1861" w:type="dxa"/>
            <w:gridSpan w:val="2"/>
            <w:vAlign w:val="center"/>
          </w:tcPr>
          <w:p w14:paraId="05EE0E3D">
            <w:pPr>
              <w:jc w:val="center"/>
              <w:rPr>
                <w:rFonts w:hint="eastAsia" w:ascii="仿宋" w:hAnsi="仿宋" w:eastAsia="仿宋"/>
                <w:sz w:val="24"/>
              </w:rPr>
            </w:pPr>
          </w:p>
        </w:tc>
        <w:tc>
          <w:tcPr>
            <w:tcW w:w="2111" w:type="dxa"/>
            <w:vAlign w:val="center"/>
          </w:tcPr>
          <w:p w14:paraId="10E5561E">
            <w:pPr>
              <w:jc w:val="center"/>
              <w:rPr>
                <w:rFonts w:hint="eastAsia" w:ascii="仿宋" w:hAnsi="仿宋" w:eastAsia="仿宋"/>
                <w:sz w:val="24"/>
              </w:rPr>
            </w:pPr>
          </w:p>
        </w:tc>
      </w:tr>
      <w:tr w14:paraId="2989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6" w:type="dxa"/>
            <w:vAlign w:val="center"/>
          </w:tcPr>
          <w:p w14:paraId="40032EC6">
            <w:pPr>
              <w:jc w:val="center"/>
              <w:rPr>
                <w:rFonts w:hint="eastAsia" w:ascii="仿宋" w:hAnsi="仿宋" w:eastAsia="仿宋"/>
                <w:sz w:val="24"/>
              </w:rPr>
            </w:pPr>
            <w:r>
              <w:rPr>
                <w:rFonts w:hint="eastAsia" w:ascii="仿宋" w:hAnsi="仿宋" w:eastAsia="仿宋"/>
                <w:sz w:val="24"/>
              </w:rPr>
              <w:t>3</w:t>
            </w:r>
          </w:p>
        </w:tc>
        <w:tc>
          <w:tcPr>
            <w:tcW w:w="1052" w:type="dxa"/>
            <w:gridSpan w:val="2"/>
            <w:vAlign w:val="center"/>
          </w:tcPr>
          <w:p w14:paraId="516FED11">
            <w:pPr>
              <w:jc w:val="center"/>
              <w:rPr>
                <w:rFonts w:hint="eastAsia" w:ascii="仿宋" w:hAnsi="仿宋" w:eastAsia="仿宋"/>
                <w:sz w:val="24"/>
              </w:rPr>
            </w:pPr>
          </w:p>
        </w:tc>
        <w:tc>
          <w:tcPr>
            <w:tcW w:w="1561" w:type="dxa"/>
            <w:vAlign w:val="center"/>
          </w:tcPr>
          <w:p w14:paraId="06C53C08">
            <w:pPr>
              <w:jc w:val="center"/>
              <w:rPr>
                <w:rFonts w:hint="eastAsia" w:ascii="仿宋" w:hAnsi="仿宋" w:eastAsia="仿宋"/>
                <w:sz w:val="24"/>
              </w:rPr>
            </w:pPr>
          </w:p>
        </w:tc>
        <w:tc>
          <w:tcPr>
            <w:tcW w:w="1658" w:type="dxa"/>
            <w:gridSpan w:val="2"/>
            <w:vAlign w:val="center"/>
          </w:tcPr>
          <w:p w14:paraId="46BA03F9">
            <w:pPr>
              <w:jc w:val="center"/>
              <w:rPr>
                <w:rFonts w:hint="eastAsia" w:ascii="仿宋" w:hAnsi="仿宋" w:eastAsia="仿宋"/>
                <w:sz w:val="24"/>
              </w:rPr>
            </w:pPr>
          </w:p>
        </w:tc>
        <w:tc>
          <w:tcPr>
            <w:tcW w:w="1861" w:type="dxa"/>
            <w:gridSpan w:val="2"/>
            <w:vAlign w:val="center"/>
          </w:tcPr>
          <w:p w14:paraId="5394FF10">
            <w:pPr>
              <w:jc w:val="center"/>
              <w:rPr>
                <w:rFonts w:hint="eastAsia" w:ascii="仿宋" w:hAnsi="仿宋" w:eastAsia="仿宋"/>
                <w:sz w:val="24"/>
              </w:rPr>
            </w:pPr>
          </w:p>
        </w:tc>
        <w:tc>
          <w:tcPr>
            <w:tcW w:w="2111" w:type="dxa"/>
            <w:vAlign w:val="center"/>
          </w:tcPr>
          <w:p w14:paraId="3EC66296">
            <w:pPr>
              <w:jc w:val="center"/>
              <w:rPr>
                <w:rFonts w:hint="eastAsia" w:ascii="仿宋" w:hAnsi="仿宋" w:eastAsia="仿宋"/>
                <w:sz w:val="24"/>
              </w:rPr>
            </w:pPr>
          </w:p>
        </w:tc>
      </w:tr>
      <w:tr w14:paraId="6B50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6" w:type="dxa"/>
            <w:vAlign w:val="center"/>
          </w:tcPr>
          <w:p w14:paraId="4DF219A0">
            <w:pPr>
              <w:jc w:val="center"/>
              <w:rPr>
                <w:rFonts w:hint="eastAsia" w:ascii="仿宋" w:hAnsi="仿宋" w:eastAsia="仿宋"/>
                <w:sz w:val="24"/>
              </w:rPr>
            </w:pPr>
            <w:r>
              <w:rPr>
                <w:rFonts w:hint="eastAsia" w:ascii="仿宋" w:hAnsi="仿宋" w:eastAsia="仿宋"/>
                <w:sz w:val="24"/>
              </w:rPr>
              <w:t>4</w:t>
            </w:r>
          </w:p>
        </w:tc>
        <w:tc>
          <w:tcPr>
            <w:tcW w:w="1052" w:type="dxa"/>
            <w:gridSpan w:val="2"/>
            <w:vAlign w:val="center"/>
          </w:tcPr>
          <w:p w14:paraId="036BE64D">
            <w:pPr>
              <w:jc w:val="center"/>
              <w:rPr>
                <w:rFonts w:hint="eastAsia" w:ascii="仿宋" w:hAnsi="仿宋" w:eastAsia="仿宋"/>
                <w:sz w:val="24"/>
              </w:rPr>
            </w:pPr>
          </w:p>
        </w:tc>
        <w:tc>
          <w:tcPr>
            <w:tcW w:w="1561" w:type="dxa"/>
            <w:vAlign w:val="center"/>
          </w:tcPr>
          <w:p w14:paraId="7244DE50">
            <w:pPr>
              <w:jc w:val="center"/>
              <w:rPr>
                <w:rFonts w:hint="eastAsia" w:ascii="仿宋" w:hAnsi="仿宋" w:eastAsia="仿宋"/>
                <w:sz w:val="24"/>
              </w:rPr>
            </w:pPr>
          </w:p>
        </w:tc>
        <w:tc>
          <w:tcPr>
            <w:tcW w:w="1658" w:type="dxa"/>
            <w:gridSpan w:val="2"/>
            <w:vAlign w:val="center"/>
          </w:tcPr>
          <w:p w14:paraId="175E3C37">
            <w:pPr>
              <w:jc w:val="center"/>
              <w:rPr>
                <w:rFonts w:hint="eastAsia" w:ascii="仿宋" w:hAnsi="仿宋" w:eastAsia="仿宋"/>
                <w:sz w:val="24"/>
              </w:rPr>
            </w:pPr>
          </w:p>
        </w:tc>
        <w:tc>
          <w:tcPr>
            <w:tcW w:w="1861" w:type="dxa"/>
            <w:gridSpan w:val="2"/>
            <w:vAlign w:val="center"/>
          </w:tcPr>
          <w:p w14:paraId="2A7078A7">
            <w:pPr>
              <w:jc w:val="center"/>
              <w:rPr>
                <w:rFonts w:hint="eastAsia" w:ascii="仿宋" w:hAnsi="仿宋" w:eastAsia="仿宋"/>
                <w:sz w:val="24"/>
              </w:rPr>
            </w:pPr>
          </w:p>
        </w:tc>
        <w:tc>
          <w:tcPr>
            <w:tcW w:w="2111" w:type="dxa"/>
            <w:vAlign w:val="center"/>
          </w:tcPr>
          <w:p w14:paraId="1D3074FD">
            <w:pPr>
              <w:jc w:val="center"/>
              <w:rPr>
                <w:rFonts w:hint="eastAsia" w:ascii="仿宋" w:hAnsi="仿宋" w:eastAsia="仿宋"/>
                <w:sz w:val="24"/>
              </w:rPr>
            </w:pPr>
          </w:p>
        </w:tc>
      </w:tr>
    </w:tbl>
    <w:p w14:paraId="260E5777">
      <w:pPr>
        <w:spacing w:line="360" w:lineRule="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24F8E"/>
    <w:multiLevelType w:val="multilevel"/>
    <w:tmpl w:val="46624F8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5EFD6A7B"/>
    <w:multiLevelType w:val="singleLevel"/>
    <w:tmpl w:val="5EFD6A7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OWQxMTIyYjM4MGJhZmU3ZGUwM2Y1MWVmZWYzNzEifQ=="/>
  </w:docVars>
  <w:rsids>
    <w:rsidRoot w:val="00821944"/>
    <w:rsid w:val="00042001"/>
    <w:rsid w:val="000474B8"/>
    <w:rsid w:val="0014005A"/>
    <w:rsid w:val="001464F5"/>
    <w:rsid w:val="00236D7E"/>
    <w:rsid w:val="00245F80"/>
    <w:rsid w:val="00461CAE"/>
    <w:rsid w:val="005720E7"/>
    <w:rsid w:val="005B5C9B"/>
    <w:rsid w:val="00821944"/>
    <w:rsid w:val="00937347"/>
    <w:rsid w:val="009701B2"/>
    <w:rsid w:val="00A36439"/>
    <w:rsid w:val="00A85332"/>
    <w:rsid w:val="00A9287E"/>
    <w:rsid w:val="00AE567C"/>
    <w:rsid w:val="00B86650"/>
    <w:rsid w:val="00D7159F"/>
    <w:rsid w:val="00DA58A9"/>
    <w:rsid w:val="00E3243C"/>
    <w:rsid w:val="00EE2DAB"/>
    <w:rsid w:val="00F74A94"/>
    <w:rsid w:val="00FF19EB"/>
    <w:rsid w:val="05780D6F"/>
    <w:rsid w:val="065536B2"/>
    <w:rsid w:val="0E7C1AEF"/>
    <w:rsid w:val="12201CE5"/>
    <w:rsid w:val="1AC82B86"/>
    <w:rsid w:val="26414470"/>
    <w:rsid w:val="26D62BEF"/>
    <w:rsid w:val="29C6520B"/>
    <w:rsid w:val="2C847C24"/>
    <w:rsid w:val="2F996B56"/>
    <w:rsid w:val="36523846"/>
    <w:rsid w:val="3BAD5367"/>
    <w:rsid w:val="3C4971FE"/>
    <w:rsid w:val="3C4B66D1"/>
    <w:rsid w:val="426A035E"/>
    <w:rsid w:val="4458215A"/>
    <w:rsid w:val="45101CD9"/>
    <w:rsid w:val="493F1BAB"/>
    <w:rsid w:val="4B8C5E5C"/>
    <w:rsid w:val="4EF64929"/>
    <w:rsid w:val="59982BEC"/>
    <w:rsid w:val="59E31E14"/>
    <w:rsid w:val="6000673C"/>
    <w:rsid w:val="656568C1"/>
    <w:rsid w:val="6B154A8D"/>
    <w:rsid w:val="7006309B"/>
    <w:rsid w:val="772E7BF1"/>
    <w:rsid w:val="777E6238"/>
    <w:rsid w:val="7AD9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14"/>
    <w:semiHidden/>
    <w:unhideWhenUsed/>
    <w:qFormat/>
    <w:uiPriority w:val="0"/>
    <w:pPr>
      <w:keepNext/>
      <w:keepLines/>
      <w:spacing w:before="260" w:after="260" w:line="416" w:lineRule="auto"/>
      <w:outlineLvl w:val="2"/>
    </w:pPr>
    <w:rPr>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26E5" w:themeColor="hyperlink"/>
      <w:u w:val="single"/>
      <w14:textFill>
        <w14:solidFill>
          <w14:schemeClr w14:val="hlink"/>
        </w14:solidFill>
      </w14:textFill>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标题 3 字符"/>
    <w:basedOn w:val="8"/>
    <w:link w:val="3"/>
    <w:semiHidden/>
    <w:qFormat/>
    <w:uiPriority w:val="0"/>
    <w:rPr>
      <w:rFonts w:asciiTheme="minorHAnsi" w:hAnsiTheme="minorHAnsi" w:eastAsiaTheme="minorEastAsia" w:cstheme="minorBidi"/>
      <w:b/>
      <w:bCs/>
      <w:kern w:val="2"/>
      <w:sz w:val="32"/>
      <w:szCs w:val="32"/>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1310</Words>
  <Characters>1385</Characters>
  <Lines>10</Lines>
  <Paragraphs>3</Paragraphs>
  <TotalTime>15</TotalTime>
  <ScaleCrop>false</ScaleCrop>
  <LinksUpToDate>false</LinksUpToDate>
  <CharactersWithSpaces>1406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2023-11-14T05:29:00Z</dcterms:created>
  <dc:creator>星光</dc:creator>
  <cp:lastModifiedBy>七安</cp:lastModifiedBy>
  <dcterms:modified xsi:type="dcterms:W3CDTF">2025-10-30T11:13:05Z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9CAC7E8DBA9F45B288F040AAFF65E29C_13</vt:lpwstr>
  </property>
  <property fmtid="{D5CDD505-2E9C-101B-9397-08002B2CF9AE}" pid="4" name="KSOTemplateDocerSaveRecord">
    <vt:lpwstr>eyJoZGlkIjoiZTU1OWQxMTIyYjM4MGJhZmU3ZGUwM2Y1MWVmZWYzNzEiLCJ1c2VySWQiOiI2ODA3MSJ9</vt:lpwstr>
  </property>
</Properties>
</file>