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A94C">
      <w:pPr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附表1：</w:t>
      </w:r>
    </w:p>
    <w:p w14:paraId="0547D055">
      <w:pPr>
        <w:spacing w:line="360" w:lineRule="auto"/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新质</w:t>
      </w:r>
      <w:r>
        <w:rPr>
          <w:rFonts w:hint="eastAsia" w:ascii="华文中宋" w:hAnsi="华文中宋" w:eastAsia="华文中宋" w:cs="微软雅黑"/>
          <w:b/>
          <w:bCs/>
          <w:sz w:val="44"/>
          <w:szCs w:val="44"/>
        </w:rPr>
        <w:t>•</w:t>
      </w: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引领</w:t>
      </w:r>
      <w:r>
        <w:rPr>
          <w:rFonts w:hint="eastAsia" w:ascii="华文中宋" w:hAnsi="华文中宋" w:eastAsia="华文中宋" w:cs="微软雅黑"/>
          <w:b/>
          <w:bCs/>
          <w:sz w:val="44"/>
          <w:szCs w:val="44"/>
        </w:rPr>
        <w:t>•</w:t>
      </w: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赋能</w:t>
      </w:r>
    </w:p>
    <w:p w14:paraId="1C961957">
      <w:pPr>
        <w:spacing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首届数字教育示范案例申报书</w:t>
      </w:r>
    </w:p>
    <w:p w14:paraId="0C38096F">
      <w:pPr>
        <w:spacing w:line="360" w:lineRule="auto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中国教育技术协会制</w:t>
      </w:r>
    </w:p>
    <w:p w14:paraId="7443F590">
      <w:pPr>
        <w:spacing w:line="360" w:lineRule="auto"/>
        <w:rPr>
          <w:rFonts w:ascii="仿宋" w:hAnsi="仿宋" w:eastAsia="仿宋"/>
          <w:sz w:val="32"/>
        </w:rPr>
      </w:pPr>
    </w:p>
    <w:p w14:paraId="5A5EE8D2">
      <w:pPr>
        <w:spacing w:line="360" w:lineRule="auto"/>
        <w:ind w:firstLine="1600" w:firstLineChars="500"/>
        <w:rPr>
          <w:rFonts w:hint="default" w:ascii="黑体" w:hAnsi="黑体" w:eastAsia="黑体"/>
          <w:sz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</w:rPr>
        <w:t>申报单位：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</w:t>
      </w:r>
    </w:p>
    <w:p w14:paraId="06F3E8D3">
      <w:pPr>
        <w:spacing w:line="360" w:lineRule="auto"/>
        <w:rPr>
          <w:rFonts w:hint="default" w:ascii="黑体" w:hAnsi="黑体" w:eastAsia="黑体"/>
          <w:sz w:val="32"/>
          <w:u w:val="single"/>
          <w:lang w:val="en-US" w:eastAsia="zh-CN"/>
        </w:rPr>
      </w:pPr>
    </w:p>
    <w:p w14:paraId="223DCCC3">
      <w:pPr>
        <w:spacing w:line="360" w:lineRule="auto"/>
        <w:rPr>
          <w:rFonts w:hint="default" w:ascii="黑体" w:hAnsi="黑体" w:eastAsia="黑体"/>
          <w:sz w:val="32"/>
          <w:u w:val="single"/>
          <w:lang w:val="en-US" w:eastAsia="zh-CN"/>
        </w:rPr>
      </w:pPr>
    </w:p>
    <w:p w14:paraId="41A47642">
      <w:pPr>
        <w:spacing w:line="360" w:lineRule="auto"/>
        <w:ind w:firstLine="1600" w:firstLineChars="500"/>
        <w:rPr>
          <w:rFonts w:hint="default" w:ascii="黑体" w:hAnsi="黑体" w:eastAsia="黑体"/>
          <w:sz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</w:rPr>
        <w:t>案例名称：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</w:t>
      </w:r>
      <w:bookmarkStart w:id="0" w:name="_GoBack"/>
      <w:bookmarkEnd w:id="0"/>
    </w:p>
    <w:p w14:paraId="499FABCA">
      <w:pPr>
        <w:spacing w:line="360" w:lineRule="auto"/>
        <w:ind w:firstLine="1600" w:firstLineChars="5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案例组别：○高等教育 </w:t>
      </w:r>
    </w:p>
    <w:p w14:paraId="00BF229F">
      <w:pPr>
        <w:spacing w:line="360" w:lineRule="auto"/>
        <w:ind w:firstLine="3200" w:firstLineChars="10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○职业教育 </w:t>
      </w:r>
    </w:p>
    <w:p w14:paraId="6059E866">
      <w:pPr>
        <w:spacing w:line="360" w:lineRule="auto"/>
        <w:ind w:firstLine="3200" w:firstLineChars="10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○基础教育 </w:t>
      </w:r>
    </w:p>
    <w:p w14:paraId="26A4E912">
      <w:pPr>
        <w:spacing w:line="360" w:lineRule="auto"/>
        <w:ind w:firstLine="3200" w:firstLineChars="10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○继续教育</w:t>
      </w:r>
    </w:p>
    <w:p w14:paraId="603469C5">
      <w:pPr>
        <w:spacing w:line="360" w:lineRule="auto"/>
        <w:ind w:firstLine="3200" w:firstLineChars="1000"/>
        <w:rPr>
          <w:rFonts w:hint="eastAsia" w:ascii="黑体" w:hAnsi="黑体" w:eastAsia="黑体"/>
          <w:sz w:val="32"/>
        </w:rPr>
      </w:pPr>
    </w:p>
    <w:p w14:paraId="05E729F7">
      <w:pPr>
        <w:spacing w:line="360" w:lineRule="auto"/>
        <w:ind w:firstLine="1600" w:firstLineChars="5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填写日期：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</w:t>
      </w:r>
    </w:p>
    <w:p w14:paraId="4BD41A7D">
      <w:pPr>
        <w:spacing w:line="360" w:lineRule="auto"/>
        <w:rPr>
          <w:rFonts w:ascii="仿宋" w:hAnsi="仿宋" w:eastAsia="仿宋"/>
          <w:sz w:val="32"/>
        </w:rPr>
      </w:pPr>
    </w:p>
    <w:p w14:paraId="44135663"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page"/>
      </w:r>
    </w:p>
    <w:tbl>
      <w:tblPr>
        <w:tblStyle w:val="3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14:paraId="09A2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vAlign w:val="center"/>
          </w:tcPr>
          <w:p w14:paraId="439629E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案例负责人</w:t>
            </w:r>
          </w:p>
        </w:tc>
        <w:tc>
          <w:tcPr>
            <w:tcW w:w="979" w:type="dxa"/>
            <w:vAlign w:val="center"/>
          </w:tcPr>
          <w:p w14:paraId="12B14FB5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14:paraId="58160C1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119" w:type="dxa"/>
            <w:vAlign w:val="center"/>
          </w:tcPr>
          <w:p w14:paraId="0CF3DF5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14:paraId="2A9F95C4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2AFB7A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14:paraId="303F166D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335A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50788FED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7346F8F0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14:paraId="374B2DDA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3B6F8ED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14:paraId="1212F42E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5196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103EA2B9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44023DF8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14:paraId="53FE8ED3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DCA8A00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14:paraId="42BFD59D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31D0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120968DD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40CF696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14:paraId="7CD62803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469E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18" w:type="dxa"/>
            <w:gridSpan w:val="10"/>
            <w:vAlign w:val="center"/>
          </w:tcPr>
          <w:p w14:paraId="1A0359CE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案例团队其他成员</w:t>
            </w:r>
          </w:p>
        </w:tc>
      </w:tr>
      <w:tr w14:paraId="33B2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E678FC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14:paraId="6ED58EDA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14:paraId="31E00EB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14:paraId="4B1D1963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14:paraId="124A0CE8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14:paraId="4D8CF1E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手机号</w:t>
            </w:r>
          </w:p>
        </w:tc>
      </w:tr>
      <w:tr w14:paraId="06F5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57781B4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14:paraId="25D6B074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E618A2E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ECB3594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E2B4C83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1B584447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4C34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792EDEC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14:paraId="591538E1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9812832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C3B0472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92EA0E7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0E1525E8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1C0C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6030D782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14:paraId="7B7079B8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620CB5D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609BE9F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5443301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492B3F9E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1B0B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1BF809C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14:paraId="1D7FCBB0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4D110F4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DFC23E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4725D67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1E1D2CA0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181F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2B25F57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案例场景与问题分析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（简要阐述案例所处的背景、场景、起因及要解决的重点、难点问题，不超过500字）</w:t>
            </w:r>
          </w:p>
          <w:p w14:paraId="298E990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ABBF5C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F00066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288A32C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81E60EB">
            <w:pPr>
              <w:rPr>
                <w:rFonts w:ascii="仿宋" w:hAnsi="仿宋" w:eastAsia="仿宋"/>
                <w:sz w:val="32"/>
              </w:rPr>
            </w:pPr>
          </w:p>
        </w:tc>
      </w:tr>
      <w:tr w14:paraId="2FB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2BE8448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特色与</w:t>
            </w:r>
            <w:r>
              <w:rPr>
                <w:rFonts w:ascii="仿宋" w:hAnsi="仿宋" w:eastAsia="仿宋"/>
                <w:sz w:val="32"/>
                <w:szCs w:val="32"/>
              </w:rPr>
              <w:t>创新举措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（简要介绍该案例在数字教育教学理念创新、内容创新、设计创新、方式方法创新、考核评价创新或技术手段创新方面的情况，不超过10</w:t>
            </w:r>
            <w:r>
              <w:rPr>
                <w:rFonts w:ascii="仿宋" w:hAnsi="仿宋" w:eastAsia="仿宋"/>
                <w:sz w:val="32"/>
                <w:szCs w:val="32"/>
              </w:rPr>
              <w:t>00 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  <w:p w14:paraId="4CC540E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A1131C9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86780A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C62FBC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1C3968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D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1F39AEE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案例目标与实施过程（具体阐述本案例所要达成的目标，描述教育教学环境建设、活动设计、技术应用、过程管理或评价方法等具体实施过程，不超过20</w:t>
            </w:r>
            <w:r>
              <w:rPr>
                <w:rFonts w:ascii="仿宋" w:hAnsi="仿宋" w:eastAsia="仿宋"/>
                <w:sz w:val="32"/>
                <w:szCs w:val="32"/>
              </w:rPr>
              <w:t>00 字）</w:t>
            </w:r>
          </w:p>
          <w:p w14:paraId="436AE95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AF94E9C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113585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FD1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67C950C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应用与</w:t>
            </w:r>
            <w:r>
              <w:rPr>
                <w:rFonts w:ascii="仿宋" w:hAnsi="仿宋" w:eastAsia="仿宋"/>
                <w:sz w:val="32"/>
                <w:szCs w:val="32"/>
              </w:rPr>
              <w:t>成果成效(介绍该案例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的推广应用，对比说明</w:t>
            </w:r>
            <w:r>
              <w:rPr>
                <w:rFonts w:ascii="仿宋" w:hAnsi="仿宋" w:eastAsia="仿宋"/>
                <w:sz w:val="32"/>
                <w:szCs w:val="32"/>
              </w:rPr>
              <w:t>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教育对象</w:t>
            </w:r>
            <w:r>
              <w:rPr>
                <w:rFonts w:ascii="仿宋" w:hAnsi="仿宋" w:eastAsia="仿宋"/>
                <w:sz w:val="32"/>
                <w:szCs w:val="32"/>
              </w:rPr>
              <w:t>能力培养、教师专业发展、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学科/专业/课程/资源建设或教育管理治理</w:t>
            </w:r>
            <w:r>
              <w:rPr>
                <w:rFonts w:ascii="仿宋" w:hAnsi="仿宋" w:eastAsia="仿宋"/>
                <w:sz w:val="32"/>
                <w:szCs w:val="32"/>
              </w:rPr>
              <w:t>水平提升等方面所起到的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定性、定量的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积极作用，不超过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sz w:val="32"/>
                <w:szCs w:val="32"/>
              </w:rPr>
              <w:t>00 字)</w:t>
            </w:r>
          </w:p>
          <w:p w14:paraId="5D010B6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1B3298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CA0BEFA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1906D1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4245EC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4A173D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FC6720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52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24ECAEF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反思与总结规划（介绍基于本案例所进行的总结、进一步思考，提出下一步可行性设想，不超过5</w:t>
            </w:r>
            <w:r>
              <w:rPr>
                <w:rFonts w:ascii="仿宋" w:hAnsi="仿宋" w:eastAsia="仿宋"/>
                <w:sz w:val="32"/>
                <w:szCs w:val="32"/>
              </w:rPr>
              <w:t>00 字）</w:t>
            </w:r>
          </w:p>
          <w:p w14:paraId="5BE1FF1F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DF5182C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A09B5A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920003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814A0D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1BC995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1F06C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52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9418" w:type="dxa"/>
            <w:gridSpan w:val="10"/>
          </w:tcPr>
          <w:p w14:paraId="37DC67D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相关佐证材料清单（相关佐证材料数量要求不超过10</w:t>
            </w:r>
            <w:r>
              <w:rPr>
                <w:rFonts w:ascii="仿宋" w:hAnsi="仿宋" w:eastAsia="仿宋"/>
                <w:sz w:val="32"/>
                <w:szCs w:val="32"/>
              </w:rPr>
              <w:t>项，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网址平台链接保证活动期间可访问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  <w:p w14:paraId="158E488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FA49C4C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7A22EEA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C9BC32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911FDA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17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210108DB">
            <w:pPr>
              <w:ind w:firstLine="640" w:firstLineChars="2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hAnsi="仿宋" w:eastAsia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中国教育技术协会和新华网</w:t>
            </w:r>
            <w:r>
              <w:rPr>
                <w:rFonts w:ascii="仿宋" w:hAnsi="仿宋" w:eastAsia="仿宋"/>
                <w:sz w:val="32"/>
                <w:szCs w:val="32"/>
              </w:rPr>
              <w:t>将案例用于公益性、学术性交流和展示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，所有材料不再索回</w:t>
            </w:r>
            <w:r>
              <w:rPr>
                <w:rFonts w:ascii="仿宋" w:hAnsi="仿宋" w:eastAsia="仿宋"/>
                <w:sz w:val="32"/>
                <w:szCs w:val="32"/>
              </w:rPr>
              <w:t>。</w:t>
            </w:r>
          </w:p>
          <w:p w14:paraId="557F8476">
            <w:pPr>
              <w:ind w:firstLine="640" w:firstLineChars="2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5A362EE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F1AAA66">
            <w:pPr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案例负责人签字：</w:t>
            </w:r>
          </w:p>
          <w:p w14:paraId="480DAAC5">
            <w:pPr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</w:p>
          <w:p w14:paraId="1B9DDFC3">
            <w:pPr>
              <w:ind w:firstLine="5120" w:firstLineChars="1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 w14:paraId="334C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2DFF5821">
            <w:pPr>
              <w:ind w:firstLine="640" w:firstLineChars="2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hAnsi="仿宋" w:eastAsia="仿宋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、失德失信</w:t>
            </w:r>
            <w:r>
              <w:rPr>
                <w:rFonts w:ascii="仿宋" w:hAnsi="仿宋" w:eastAsia="仿宋"/>
                <w:sz w:val="32"/>
                <w:szCs w:val="32"/>
              </w:rPr>
              <w:t>等问题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hAnsi="仿宋" w:eastAsia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中国教育技术协会和新华网</w:t>
            </w:r>
            <w:r>
              <w:rPr>
                <w:rFonts w:ascii="仿宋" w:hAnsi="仿宋" w:eastAsia="仿宋"/>
                <w:sz w:val="32"/>
                <w:szCs w:val="32"/>
              </w:rPr>
              <w:t>将案例用于公益性、学术性交流和展示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，所有材料不再索回</w:t>
            </w:r>
            <w:r>
              <w:rPr>
                <w:rFonts w:ascii="仿宋" w:hAnsi="仿宋" w:eastAsia="仿宋"/>
                <w:sz w:val="32"/>
                <w:szCs w:val="32"/>
              </w:rPr>
              <w:t>。</w:t>
            </w:r>
          </w:p>
          <w:p w14:paraId="68D252B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D0EFBC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073DFD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6E6F262"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盖章（单位公章）：</w:t>
            </w:r>
          </w:p>
          <w:p w14:paraId="668691D6">
            <w:pPr>
              <w:ind w:firstLine="5760" w:firstLineChars="1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</w:tbl>
    <w:p w14:paraId="7F7E1F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7BC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2024-09-04T08:22:15Z</dcterms:created>
  <dc:creator>Administrator</dc:creator>
  <cp:lastModifiedBy>风之刃</cp:lastModifiedBy>
  <dcterms:modified xsi:type="dcterms:W3CDTF">2024-09-04T08:26:56Z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CD943034BB7C4C11B606110114E72BB6_12</vt:lpwstr>
  </property>
</Properties>
</file>